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64644">
      <w:pPr>
        <w:pStyle w:val="13"/>
        <w:ind w:left="0" w:firstLine="474" w:firstLineChars="100"/>
        <w:jc w:val="both"/>
        <w:rPr>
          <w:rFonts w:hint="eastAsia" w:ascii="仿宋" w:hAnsi="仿宋" w:eastAsia="仿宋" w:cs="仿宋"/>
          <w:b/>
          <w:color w:val="auto"/>
          <w:spacing w:val="-4"/>
          <w:sz w:val="48"/>
          <w:szCs w:val="48"/>
          <w:highlight w:val="none"/>
        </w:rPr>
      </w:pPr>
      <w:bookmarkStart w:id="0" w:name="_top"/>
      <w:bookmarkEnd w:id="0"/>
    </w:p>
    <w:p w14:paraId="660AF5A2">
      <w:pPr>
        <w:tabs>
          <w:tab w:val="left" w:pos="1276"/>
          <w:tab w:val="left" w:pos="7020"/>
        </w:tabs>
        <w:spacing w:line="760" w:lineRule="exact"/>
        <w:jc w:val="center"/>
        <w:rPr>
          <w:rFonts w:hint="eastAsia" w:ascii="仿宋" w:hAnsi="仿宋" w:eastAsia="仿宋" w:cs="仿宋"/>
          <w:b/>
          <w:bCs/>
          <w:color w:val="auto"/>
          <w:sz w:val="52"/>
          <w:szCs w:val="52"/>
          <w:highlight w:val="none"/>
          <w:lang w:eastAsia="zh-CN"/>
        </w:rPr>
      </w:pPr>
      <w:r>
        <w:rPr>
          <w:rFonts w:hint="eastAsia" w:ascii="仿宋" w:hAnsi="仿宋" w:eastAsia="仿宋" w:cs="仿宋"/>
          <w:b/>
          <w:bCs/>
          <w:color w:val="auto"/>
          <w:sz w:val="52"/>
          <w:szCs w:val="52"/>
          <w:highlight w:val="none"/>
          <w:lang w:eastAsia="zh-CN"/>
        </w:rPr>
        <w:t>浙江省湖州市中级人民法院</w:t>
      </w:r>
    </w:p>
    <w:p w14:paraId="758C578C">
      <w:pPr>
        <w:tabs>
          <w:tab w:val="left" w:pos="1276"/>
          <w:tab w:val="left" w:pos="7020"/>
        </w:tabs>
        <w:spacing w:line="760" w:lineRule="exact"/>
        <w:jc w:val="center"/>
        <w:rPr>
          <w:rFonts w:hint="eastAsia" w:ascii="仿宋" w:hAnsi="仿宋" w:eastAsia="仿宋" w:cs="仿宋"/>
          <w:b/>
          <w:bCs/>
          <w:color w:val="auto"/>
          <w:sz w:val="52"/>
          <w:szCs w:val="52"/>
          <w:highlight w:val="none"/>
          <w:lang w:eastAsia="zh-CN"/>
        </w:rPr>
      </w:pPr>
      <w:r>
        <w:rPr>
          <w:rFonts w:hint="eastAsia" w:ascii="仿宋" w:hAnsi="仿宋" w:eastAsia="仿宋" w:cs="仿宋"/>
          <w:b/>
          <w:bCs/>
          <w:color w:val="auto"/>
          <w:sz w:val="52"/>
          <w:szCs w:val="52"/>
          <w:highlight w:val="none"/>
          <w:lang w:eastAsia="zh-CN"/>
        </w:rPr>
        <w:t>安保服务采购项目</w:t>
      </w:r>
    </w:p>
    <w:p w14:paraId="522CD933">
      <w:pPr>
        <w:pStyle w:val="13"/>
        <w:ind w:left="0" w:firstLine="474" w:firstLineChars="100"/>
        <w:jc w:val="both"/>
        <w:rPr>
          <w:rFonts w:hint="eastAsia" w:ascii="仿宋" w:hAnsi="仿宋" w:eastAsia="仿宋" w:cs="仿宋"/>
          <w:b/>
          <w:color w:val="auto"/>
          <w:spacing w:val="-4"/>
          <w:sz w:val="48"/>
          <w:szCs w:val="48"/>
          <w:highlight w:val="none"/>
        </w:rPr>
      </w:pPr>
    </w:p>
    <w:p w14:paraId="3D7E36EB">
      <w:pPr>
        <w:tabs>
          <w:tab w:val="left" w:pos="5220"/>
        </w:tabs>
        <w:spacing w:line="400" w:lineRule="exact"/>
        <w:jc w:val="center"/>
        <w:outlineLvl w:val="0"/>
        <w:rPr>
          <w:rFonts w:hint="eastAsia" w:ascii="仿宋" w:hAnsi="仿宋" w:eastAsia="仿宋" w:cs="仿宋"/>
          <w:b/>
          <w:bCs/>
          <w:color w:val="auto"/>
          <w:sz w:val="28"/>
          <w:szCs w:val="28"/>
          <w:highlight w:val="none"/>
        </w:rPr>
      </w:pPr>
      <w:bookmarkStart w:id="1" w:name="_Toc28297"/>
      <w:bookmarkStart w:id="2" w:name="_Toc12002"/>
      <w:bookmarkStart w:id="3" w:name="_Toc14899"/>
      <w:r>
        <w:rPr>
          <w:rFonts w:hint="eastAsia" w:ascii="仿宋" w:hAnsi="仿宋" w:eastAsia="仿宋" w:cs="仿宋"/>
          <w:b/>
          <w:bCs/>
          <w:color w:val="auto"/>
          <w:sz w:val="28"/>
          <w:szCs w:val="28"/>
          <w:highlight w:val="none"/>
        </w:rPr>
        <w:t>（财政审批编号：</w:t>
      </w:r>
      <w:r>
        <w:rPr>
          <w:rFonts w:hint="eastAsia" w:ascii="仿宋" w:hAnsi="仿宋" w:eastAsia="仿宋" w:cs="仿宋"/>
          <w:b/>
          <w:bCs/>
          <w:color w:val="auto"/>
          <w:sz w:val="28"/>
          <w:szCs w:val="28"/>
          <w:highlight w:val="none"/>
          <w:lang w:val="en-US" w:eastAsia="zh-CN"/>
        </w:rPr>
        <w:t>湖财采确</w:t>
      </w:r>
      <w:r>
        <w:rPr>
          <w:rFonts w:hint="eastAsia" w:ascii="仿宋" w:hAnsi="仿宋" w:eastAsia="仿宋" w:cs="仿宋"/>
          <w:b/>
          <w:bCs/>
          <w:color w:val="auto"/>
          <w:sz w:val="28"/>
          <w:szCs w:val="28"/>
          <w:highlight w:val="none"/>
        </w:rPr>
        <w:t>临[202</w:t>
      </w:r>
      <w:r>
        <w:rPr>
          <w:rFonts w:hint="eastAsia" w:ascii="仿宋" w:hAnsi="仿宋" w:eastAsia="仿宋" w:cs="仿宋"/>
          <w:b/>
          <w:bCs/>
          <w:color w:val="auto"/>
          <w:sz w:val="28"/>
          <w:szCs w:val="28"/>
          <w:highlight w:val="none"/>
          <w:lang w:val="en-US" w:eastAsia="zh-CN"/>
        </w:rPr>
        <w:t>4</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val="en-US" w:eastAsia="zh-CN"/>
        </w:rPr>
        <w:t>11446</w:t>
      </w:r>
      <w:r>
        <w:rPr>
          <w:rFonts w:hint="eastAsia" w:ascii="仿宋" w:hAnsi="仿宋" w:eastAsia="仿宋" w:cs="仿宋"/>
          <w:b/>
          <w:bCs/>
          <w:color w:val="auto"/>
          <w:sz w:val="28"/>
          <w:szCs w:val="28"/>
          <w:highlight w:val="none"/>
        </w:rPr>
        <w:t>号）</w:t>
      </w:r>
      <w:bookmarkEnd w:id="1"/>
      <w:bookmarkEnd w:id="2"/>
      <w:bookmarkEnd w:id="3"/>
    </w:p>
    <w:p w14:paraId="307586AB">
      <w:pPr>
        <w:spacing w:line="400" w:lineRule="exact"/>
        <w:rPr>
          <w:rFonts w:hint="eastAsia" w:ascii="仿宋" w:hAnsi="仿宋" w:eastAsia="仿宋" w:cs="仿宋"/>
          <w:b/>
          <w:bCs/>
          <w:color w:val="auto"/>
          <w:sz w:val="48"/>
          <w:highlight w:val="none"/>
        </w:rPr>
      </w:pPr>
    </w:p>
    <w:p w14:paraId="7229D381">
      <w:pPr>
        <w:snapToGrid w:val="0"/>
        <w:spacing w:before="156" w:beforeLines="50" w:line="400" w:lineRule="exact"/>
        <w:jc w:val="center"/>
        <w:rPr>
          <w:rFonts w:hint="eastAsia" w:ascii="仿宋" w:hAnsi="仿宋" w:eastAsia="仿宋" w:cs="仿宋"/>
          <w:color w:val="auto"/>
          <w:sz w:val="30"/>
          <w:szCs w:val="72"/>
          <w:highlight w:val="none"/>
        </w:rPr>
      </w:pPr>
    </w:p>
    <w:p w14:paraId="20526D22">
      <w:pPr>
        <w:spacing w:before="156" w:beforeLines="50"/>
        <w:jc w:val="center"/>
        <w:rPr>
          <w:rFonts w:hint="eastAsia" w:ascii="仿宋" w:hAnsi="仿宋" w:eastAsia="仿宋" w:cs="仿宋"/>
          <w:b/>
          <w:bCs/>
          <w:color w:val="auto"/>
          <w:sz w:val="72"/>
          <w:szCs w:val="72"/>
          <w:highlight w:val="none"/>
        </w:rPr>
      </w:pPr>
    </w:p>
    <w:p w14:paraId="4A2F7408">
      <w:pPr>
        <w:spacing w:before="156" w:beforeLines="50"/>
        <w:jc w:val="center"/>
        <w:outlineLvl w:val="0"/>
        <w:rPr>
          <w:rFonts w:hint="eastAsia" w:ascii="仿宋" w:hAnsi="仿宋" w:eastAsia="仿宋" w:cs="仿宋"/>
          <w:b/>
          <w:bCs/>
          <w:color w:val="auto"/>
          <w:sz w:val="52"/>
          <w:szCs w:val="52"/>
          <w:highlight w:val="none"/>
        </w:rPr>
      </w:pPr>
      <w:bookmarkStart w:id="4" w:name="_Toc16239"/>
      <w:bookmarkStart w:id="5" w:name="_Toc14628"/>
      <w:bookmarkStart w:id="6" w:name="_Toc26706"/>
      <w:r>
        <w:rPr>
          <w:rFonts w:hint="eastAsia" w:ascii="仿宋" w:hAnsi="仿宋" w:eastAsia="仿宋" w:cs="仿宋"/>
          <w:b/>
          <w:bCs/>
          <w:color w:val="auto"/>
          <w:sz w:val="72"/>
          <w:szCs w:val="72"/>
          <w:highlight w:val="none"/>
        </w:rPr>
        <w:t>竞争性磋商文件</w:t>
      </w:r>
      <w:bookmarkEnd w:id="4"/>
      <w:bookmarkEnd w:id="5"/>
      <w:bookmarkEnd w:id="6"/>
    </w:p>
    <w:p w14:paraId="0DF592B7">
      <w:pPr>
        <w:widowControl/>
        <w:spacing w:line="600" w:lineRule="exact"/>
        <w:ind w:right="-2"/>
        <w:jc w:val="center"/>
        <w:rPr>
          <w:rFonts w:hint="eastAsia" w:ascii="仿宋" w:hAnsi="仿宋" w:eastAsia="仿宋" w:cs="仿宋"/>
          <w:b/>
          <w:color w:val="auto"/>
          <w:sz w:val="52"/>
          <w:szCs w:val="52"/>
          <w:highlight w:val="none"/>
        </w:rPr>
      </w:pPr>
      <w:r>
        <w:rPr>
          <w:rFonts w:hint="eastAsia" w:ascii="仿宋" w:hAnsi="仿宋" w:eastAsia="仿宋" w:cs="仿宋"/>
          <w:b/>
          <w:color w:val="auto"/>
          <w:sz w:val="52"/>
          <w:szCs w:val="52"/>
          <w:highlight w:val="none"/>
        </w:rPr>
        <w:t xml:space="preserve"> （线上电子招投标）</w:t>
      </w:r>
    </w:p>
    <w:p w14:paraId="7C0AE712">
      <w:pPr>
        <w:snapToGrid w:val="0"/>
        <w:spacing w:before="156" w:beforeLines="50" w:line="400" w:lineRule="exact"/>
        <w:rPr>
          <w:rFonts w:hint="eastAsia" w:ascii="仿宋" w:hAnsi="仿宋" w:eastAsia="仿宋" w:cs="仿宋"/>
          <w:color w:val="auto"/>
          <w:sz w:val="30"/>
          <w:szCs w:val="72"/>
          <w:highlight w:val="none"/>
        </w:rPr>
      </w:pPr>
    </w:p>
    <w:p w14:paraId="7C42F4CA">
      <w:pPr>
        <w:snapToGrid w:val="0"/>
        <w:spacing w:before="156" w:beforeLines="50" w:line="400" w:lineRule="exact"/>
        <w:rPr>
          <w:rFonts w:hint="eastAsia" w:ascii="仿宋" w:hAnsi="仿宋" w:eastAsia="仿宋" w:cs="仿宋"/>
          <w:color w:val="auto"/>
          <w:sz w:val="30"/>
          <w:szCs w:val="72"/>
          <w:highlight w:val="none"/>
        </w:rPr>
      </w:pPr>
    </w:p>
    <w:p w14:paraId="7C115A55">
      <w:pPr>
        <w:snapToGrid w:val="0"/>
        <w:spacing w:before="156" w:beforeLines="50" w:line="400" w:lineRule="exact"/>
        <w:rPr>
          <w:rFonts w:hint="eastAsia" w:ascii="仿宋" w:hAnsi="仿宋" w:eastAsia="仿宋" w:cs="仿宋"/>
          <w:color w:val="auto"/>
          <w:sz w:val="30"/>
          <w:szCs w:val="72"/>
          <w:highlight w:val="none"/>
        </w:rPr>
      </w:pPr>
    </w:p>
    <w:p w14:paraId="2FB377F4">
      <w:pPr>
        <w:pStyle w:val="41"/>
        <w:rPr>
          <w:rFonts w:hint="eastAsia" w:ascii="仿宋" w:hAnsi="仿宋" w:eastAsia="仿宋" w:cs="仿宋"/>
          <w:color w:val="auto"/>
          <w:highlight w:val="none"/>
        </w:rPr>
      </w:pPr>
    </w:p>
    <w:p w14:paraId="3FE4FFBA">
      <w:pPr>
        <w:pStyle w:val="15"/>
        <w:adjustRightInd w:val="0"/>
        <w:spacing w:before="0" w:beforeAutospacing="0" w:after="0" w:afterAutospacing="0" w:line="800" w:lineRule="exact"/>
        <w:ind w:firstLine="1124" w:firstLineChars="400"/>
        <w:rPr>
          <w:rFonts w:hint="eastAsia" w:ascii="仿宋" w:hAnsi="仿宋" w:eastAsia="仿宋" w:cs="仿宋"/>
          <w:b/>
          <w:color w:val="auto"/>
          <w:spacing w:val="-4"/>
          <w:sz w:val="28"/>
          <w:szCs w:val="28"/>
          <w:highlight w:val="none"/>
          <w:u w:val="single"/>
        </w:rPr>
      </w:pPr>
      <w:r>
        <w:rPr>
          <w:rFonts w:hint="eastAsia" w:ascii="仿宋" w:hAnsi="仿宋" w:eastAsia="仿宋" w:cs="仿宋"/>
          <w:b/>
          <w:bCs/>
          <w:color w:val="auto"/>
          <w:sz w:val="28"/>
          <w:szCs w:val="28"/>
          <w:highlight w:val="none"/>
        </w:rPr>
        <w:t>项目编号：</w:t>
      </w:r>
      <w:r>
        <w:rPr>
          <w:rFonts w:hint="eastAsia" w:ascii="仿宋" w:hAnsi="仿宋" w:eastAsia="仿宋" w:cs="仿宋"/>
          <w:b/>
          <w:color w:val="auto"/>
          <w:spacing w:val="-4"/>
          <w:sz w:val="28"/>
          <w:szCs w:val="28"/>
          <w:highlight w:val="none"/>
          <w:u w:val="single"/>
          <w:lang w:eastAsia="zh-CN"/>
        </w:rPr>
        <w:t>XCXHZ-202</w:t>
      </w:r>
      <w:r>
        <w:rPr>
          <w:rFonts w:hint="eastAsia" w:ascii="仿宋" w:hAnsi="仿宋" w:eastAsia="仿宋" w:cs="仿宋"/>
          <w:b/>
          <w:color w:val="auto"/>
          <w:spacing w:val="-4"/>
          <w:sz w:val="28"/>
          <w:szCs w:val="28"/>
          <w:highlight w:val="none"/>
          <w:u w:val="single"/>
          <w:lang w:val="en-US" w:eastAsia="zh-CN"/>
        </w:rPr>
        <w:t>4</w:t>
      </w:r>
      <w:r>
        <w:rPr>
          <w:rFonts w:hint="eastAsia" w:ascii="仿宋" w:hAnsi="仿宋" w:eastAsia="仿宋" w:cs="仿宋"/>
          <w:b/>
          <w:color w:val="auto"/>
          <w:spacing w:val="-4"/>
          <w:sz w:val="28"/>
          <w:szCs w:val="28"/>
          <w:highlight w:val="none"/>
          <w:u w:val="single"/>
          <w:lang w:eastAsia="zh-CN"/>
        </w:rPr>
        <w:t>-0</w:t>
      </w:r>
      <w:r>
        <w:rPr>
          <w:rFonts w:hint="eastAsia" w:ascii="仿宋" w:hAnsi="仿宋" w:eastAsia="仿宋" w:cs="仿宋"/>
          <w:b/>
          <w:color w:val="auto"/>
          <w:spacing w:val="-4"/>
          <w:sz w:val="28"/>
          <w:szCs w:val="28"/>
          <w:highlight w:val="none"/>
          <w:u w:val="single"/>
          <w:lang w:val="en-US" w:eastAsia="zh-CN"/>
        </w:rPr>
        <w:t>39</w:t>
      </w:r>
      <w:r>
        <w:rPr>
          <w:rFonts w:hint="eastAsia" w:ascii="仿宋" w:hAnsi="仿宋" w:eastAsia="仿宋" w:cs="仿宋"/>
          <w:b/>
          <w:color w:val="auto"/>
          <w:spacing w:val="-4"/>
          <w:sz w:val="28"/>
          <w:szCs w:val="28"/>
          <w:highlight w:val="none"/>
          <w:u w:val="single"/>
          <w:lang w:eastAsia="zh-CN"/>
        </w:rPr>
        <w:t>（CG）</w:t>
      </w:r>
      <w:r>
        <w:rPr>
          <w:rFonts w:hint="eastAsia" w:ascii="仿宋" w:hAnsi="仿宋" w:eastAsia="仿宋" w:cs="仿宋"/>
          <w:b/>
          <w:color w:val="auto"/>
          <w:spacing w:val="-4"/>
          <w:sz w:val="28"/>
          <w:szCs w:val="28"/>
          <w:highlight w:val="none"/>
          <w:u w:val="single"/>
        </w:rPr>
        <w:t xml:space="preserve">                      </w:t>
      </w:r>
    </w:p>
    <w:p w14:paraId="318730AD">
      <w:pPr>
        <w:adjustRightInd w:val="0"/>
        <w:spacing w:line="800" w:lineRule="exact"/>
        <w:ind w:firstLine="1068" w:firstLineChars="400"/>
        <w:jc w:val="left"/>
        <w:rPr>
          <w:rFonts w:hint="eastAsia" w:ascii="仿宋" w:hAnsi="仿宋" w:eastAsia="仿宋" w:cs="仿宋"/>
          <w:b/>
          <w:color w:val="auto"/>
          <w:spacing w:val="-4"/>
          <w:sz w:val="28"/>
          <w:szCs w:val="28"/>
          <w:highlight w:val="none"/>
          <w:u w:val="single"/>
        </w:rPr>
      </w:pPr>
      <w:r>
        <w:rPr>
          <w:rFonts w:hint="eastAsia" w:ascii="仿宋" w:hAnsi="仿宋" w:eastAsia="仿宋" w:cs="仿宋"/>
          <w:b/>
          <w:bCs/>
          <w:color w:val="auto"/>
          <w:w w:val="95"/>
          <w:sz w:val="28"/>
          <w:szCs w:val="28"/>
          <w:highlight w:val="none"/>
        </w:rPr>
        <w:t>采购单位：</w:t>
      </w:r>
      <w:r>
        <w:rPr>
          <w:rFonts w:hint="eastAsia" w:ascii="仿宋" w:hAnsi="仿宋" w:eastAsia="仿宋" w:cs="仿宋"/>
          <w:b/>
          <w:color w:val="auto"/>
          <w:spacing w:val="-4"/>
          <w:sz w:val="28"/>
          <w:szCs w:val="28"/>
          <w:highlight w:val="none"/>
          <w:u w:val="single"/>
          <w:lang w:eastAsia="zh-CN"/>
        </w:rPr>
        <w:t>浙江省湖州市中级人民法院</w:t>
      </w:r>
      <w:r>
        <w:rPr>
          <w:rFonts w:hint="eastAsia" w:ascii="仿宋" w:hAnsi="仿宋" w:eastAsia="仿宋" w:cs="仿宋"/>
          <w:b/>
          <w:color w:val="auto"/>
          <w:spacing w:val="-4"/>
          <w:sz w:val="28"/>
          <w:szCs w:val="28"/>
          <w:highlight w:val="none"/>
          <w:u w:val="single"/>
        </w:rPr>
        <w:t xml:space="preserve">         （盖章）</w:t>
      </w:r>
      <w:r>
        <w:rPr>
          <w:rFonts w:hint="eastAsia" w:ascii="仿宋" w:hAnsi="仿宋" w:eastAsia="仿宋" w:cs="仿宋"/>
          <w:b/>
          <w:color w:val="auto"/>
          <w:spacing w:val="-4"/>
          <w:sz w:val="22"/>
          <w:szCs w:val="22"/>
          <w:highlight w:val="none"/>
          <w:u w:val="single"/>
        </w:rPr>
        <w:t xml:space="preserve"> </w:t>
      </w:r>
    </w:p>
    <w:p w14:paraId="3A0ABBCF">
      <w:pPr>
        <w:pStyle w:val="15"/>
        <w:adjustRightInd w:val="0"/>
        <w:spacing w:before="0" w:beforeAutospacing="0" w:after="0" w:afterAutospacing="0" w:line="800" w:lineRule="exact"/>
        <w:ind w:firstLine="1068" w:firstLineChars="400"/>
        <w:rPr>
          <w:rFonts w:hint="eastAsia" w:ascii="仿宋" w:hAnsi="仿宋" w:eastAsia="仿宋" w:cs="仿宋"/>
          <w:b/>
          <w:bCs/>
          <w:color w:val="auto"/>
          <w:w w:val="95"/>
          <w:sz w:val="28"/>
          <w:szCs w:val="28"/>
          <w:highlight w:val="none"/>
          <w:u w:val="single"/>
        </w:rPr>
      </w:pPr>
      <w:r>
        <w:rPr>
          <w:rFonts w:hint="eastAsia" w:ascii="仿宋" w:hAnsi="仿宋" w:eastAsia="仿宋" w:cs="仿宋"/>
          <w:b/>
          <w:bCs/>
          <w:color w:val="auto"/>
          <w:w w:val="95"/>
          <w:sz w:val="28"/>
          <w:szCs w:val="28"/>
          <w:highlight w:val="none"/>
        </w:rPr>
        <w:t>代理机构：</w:t>
      </w:r>
      <w:r>
        <w:rPr>
          <w:rFonts w:hint="eastAsia" w:ascii="仿宋" w:hAnsi="仿宋" w:eastAsia="仿宋" w:cs="仿宋"/>
          <w:b/>
          <w:color w:val="auto"/>
          <w:sz w:val="28"/>
          <w:szCs w:val="28"/>
          <w:highlight w:val="none"/>
          <w:u w:val="single"/>
        </w:rPr>
        <w:t xml:space="preserve">浙江新诚信工程咨询有限公司      </w:t>
      </w:r>
      <w:r>
        <w:rPr>
          <w:rFonts w:hint="eastAsia" w:ascii="仿宋" w:hAnsi="仿宋" w:eastAsia="仿宋" w:cs="仿宋"/>
          <w:b/>
          <w:color w:val="auto"/>
          <w:spacing w:val="-4"/>
          <w:sz w:val="28"/>
          <w:szCs w:val="28"/>
          <w:highlight w:val="none"/>
          <w:u w:val="single"/>
        </w:rPr>
        <w:t xml:space="preserve">（盖章） </w:t>
      </w:r>
    </w:p>
    <w:p w14:paraId="5A1B342E">
      <w:pPr>
        <w:snapToGrid w:val="0"/>
        <w:spacing w:before="156" w:beforeLines="50" w:line="400" w:lineRule="exact"/>
        <w:ind w:left="384" w:leftChars="183" w:firstLine="4599" w:firstLineChars="1607"/>
        <w:rPr>
          <w:rFonts w:hint="eastAsia" w:ascii="仿宋" w:hAnsi="仿宋" w:eastAsia="仿宋" w:cs="仿宋"/>
          <w:b/>
          <w:bCs/>
          <w:color w:val="auto"/>
          <w:w w:val="95"/>
          <w:sz w:val="30"/>
          <w:szCs w:val="30"/>
          <w:highlight w:val="none"/>
        </w:rPr>
      </w:pPr>
    </w:p>
    <w:p w14:paraId="01B188DD">
      <w:pPr>
        <w:snapToGrid w:val="0"/>
        <w:spacing w:before="156" w:beforeLines="50" w:line="400" w:lineRule="exact"/>
        <w:rPr>
          <w:rFonts w:hint="eastAsia" w:ascii="仿宋" w:hAnsi="仿宋" w:eastAsia="仿宋" w:cs="仿宋"/>
          <w:b/>
          <w:bCs/>
          <w:color w:val="auto"/>
          <w:w w:val="95"/>
          <w:sz w:val="30"/>
          <w:szCs w:val="30"/>
          <w:highlight w:val="none"/>
        </w:rPr>
      </w:pPr>
    </w:p>
    <w:p w14:paraId="3E7E2273">
      <w:pPr>
        <w:adjustRightInd w:val="0"/>
        <w:snapToGrid w:val="0"/>
        <w:spacing w:line="400" w:lineRule="exact"/>
        <w:jc w:val="center"/>
        <w:outlineLvl w:val="0"/>
        <w:rPr>
          <w:rFonts w:hint="eastAsia" w:ascii="仿宋" w:hAnsi="仿宋" w:eastAsia="仿宋" w:cs="仿宋"/>
          <w:color w:val="auto"/>
          <w:highlight w:val="none"/>
        </w:rPr>
      </w:pPr>
      <w:bookmarkStart w:id="7" w:name="_Toc15483"/>
      <w:bookmarkStart w:id="8" w:name="_Toc11106"/>
      <w:bookmarkStart w:id="9" w:name="_Toc26062"/>
      <w:r>
        <w:rPr>
          <w:rFonts w:hint="eastAsia" w:ascii="仿宋" w:hAnsi="仿宋" w:eastAsia="仿宋" w:cs="仿宋"/>
          <w:b/>
          <w:snapToGrid w:val="0"/>
          <w:color w:val="auto"/>
          <w:sz w:val="32"/>
          <w:highlight w:val="none"/>
        </w:rPr>
        <w:t>日   期：202</w:t>
      </w:r>
      <w:r>
        <w:rPr>
          <w:rFonts w:hint="eastAsia" w:ascii="仿宋" w:hAnsi="仿宋" w:eastAsia="仿宋" w:cs="仿宋"/>
          <w:b/>
          <w:snapToGrid w:val="0"/>
          <w:color w:val="auto"/>
          <w:sz w:val="32"/>
          <w:highlight w:val="none"/>
          <w:lang w:val="en-US" w:eastAsia="zh-CN"/>
        </w:rPr>
        <w:t>4</w:t>
      </w:r>
      <w:r>
        <w:rPr>
          <w:rFonts w:hint="eastAsia" w:ascii="仿宋" w:hAnsi="仿宋" w:eastAsia="仿宋" w:cs="仿宋"/>
          <w:b/>
          <w:snapToGrid w:val="0"/>
          <w:color w:val="auto"/>
          <w:sz w:val="32"/>
          <w:highlight w:val="none"/>
        </w:rPr>
        <w:t>年0</w:t>
      </w:r>
      <w:r>
        <w:rPr>
          <w:rFonts w:hint="eastAsia" w:ascii="仿宋" w:hAnsi="仿宋" w:eastAsia="仿宋" w:cs="仿宋"/>
          <w:b/>
          <w:snapToGrid w:val="0"/>
          <w:color w:val="auto"/>
          <w:sz w:val="32"/>
          <w:highlight w:val="none"/>
          <w:lang w:val="en-US" w:eastAsia="zh-CN"/>
        </w:rPr>
        <w:t>8</w:t>
      </w:r>
      <w:r>
        <w:rPr>
          <w:rFonts w:hint="eastAsia" w:ascii="仿宋" w:hAnsi="仿宋" w:eastAsia="仿宋" w:cs="仿宋"/>
          <w:b/>
          <w:snapToGrid w:val="0"/>
          <w:color w:val="auto"/>
          <w:sz w:val="32"/>
          <w:highlight w:val="none"/>
        </w:rPr>
        <w:t>月</w:t>
      </w:r>
      <w:bookmarkEnd w:id="7"/>
      <w:bookmarkEnd w:id="8"/>
      <w:bookmarkEnd w:id="9"/>
    </w:p>
    <w:p w14:paraId="2FBFCD9B">
      <w:pPr>
        <w:spacing w:line="360" w:lineRule="exact"/>
        <w:ind w:firstLine="442" w:firstLineChars="100"/>
        <w:jc w:val="left"/>
        <w:rPr>
          <w:rFonts w:hint="eastAsia" w:ascii="仿宋" w:hAnsi="仿宋" w:eastAsia="仿宋" w:cs="仿宋"/>
          <w:b/>
          <w:color w:val="auto"/>
          <w:sz w:val="44"/>
          <w:szCs w:val="44"/>
          <w:highlight w:val="none"/>
        </w:rPr>
        <w:sectPr>
          <w:pgSz w:w="11906" w:h="16838"/>
          <w:pgMar w:top="1440" w:right="1080" w:bottom="1440" w:left="1080" w:header="567" w:footer="567" w:gutter="0"/>
          <w:pgBorders>
            <w:top w:val="none" w:sz="0" w:space="0"/>
            <w:left w:val="none" w:sz="0" w:space="0"/>
            <w:bottom w:val="thickThinSmallGap" w:color="auto" w:sz="18" w:space="1"/>
            <w:right w:val="none" w:sz="0" w:space="0"/>
          </w:pgBorders>
          <w:pgNumType w:start="1"/>
          <w:cols w:space="720" w:num="1"/>
          <w:titlePg/>
          <w:docGrid w:type="lines" w:linePitch="312" w:charSpace="0"/>
        </w:sectPr>
      </w:pPr>
    </w:p>
    <w:sdt>
      <w:sdtPr>
        <w:rPr>
          <w:rFonts w:hint="eastAsia" w:ascii="仿宋" w:hAnsi="仿宋" w:eastAsia="仿宋" w:cs="仿宋"/>
          <w:b/>
          <w:bCs/>
          <w:color w:val="auto"/>
          <w:kern w:val="2"/>
          <w:sz w:val="32"/>
          <w:szCs w:val="32"/>
          <w:highlight w:val="none"/>
          <w:lang w:val="en-US" w:eastAsia="zh-CN" w:bidi="ar-SA"/>
        </w:rPr>
        <w:id w:val="147458255"/>
        <w15:color w:val="DBDBDB"/>
        <w:docPartObj>
          <w:docPartGallery w:val="Table of Contents"/>
          <w:docPartUnique/>
        </w:docPartObj>
      </w:sdtPr>
      <w:sdtEndPr>
        <w:rPr>
          <w:rFonts w:hint="eastAsia" w:ascii="仿宋" w:hAnsi="仿宋" w:eastAsia="仿宋" w:cs="仿宋"/>
          <w:b/>
          <w:bCs/>
          <w:color w:val="auto"/>
          <w:kern w:val="2"/>
          <w:sz w:val="32"/>
          <w:szCs w:val="32"/>
          <w:highlight w:val="none"/>
          <w:lang w:val="en-US" w:eastAsia="zh-CN" w:bidi="ar-SA"/>
        </w:rPr>
      </w:sdtEndPr>
      <w:sdtContent>
        <w:p w14:paraId="78667AB7">
          <w:pPr>
            <w:spacing w:before="0" w:beforeLines="0" w:after="0" w:afterLines="0" w:line="240" w:lineRule="auto"/>
            <w:ind w:left="0" w:leftChars="0" w:right="0" w:rightChars="0" w:firstLine="0" w:firstLineChars="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目</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rPr>
            <w:t>录</w:t>
          </w:r>
        </w:p>
        <w:p w14:paraId="7A276CB7">
          <w:pPr>
            <w:pStyle w:val="98"/>
            <w:tabs>
              <w:tab w:val="right" w:leader="dot" w:pos="9746"/>
            </w:tabs>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fldChar w:fldCharType="begin"/>
          </w:r>
          <w:r>
            <w:rPr>
              <w:rFonts w:hint="eastAsia" w:ascii="仿宋" w:hAnsi="仿宋" w:eastAsia="仿宋" w:cs="仿宋"/>
              <w:b/>
              <w:bCs/>
              <w:color w:val="auto"/>
              <w:sz w:val="32"/>
              <w:szCs w:val="32"/>
              <w:highlight w:val="none"/>
            </w:rPr>
            <w:instrText xml:space="preserve">TOC \o "1-1" \h \u </w:instrText>
          </w:r>
          <w:r>
            <w:rPr>
              <w:rFonts w:hint="eastAsia" w:ascii="仿宋" w:hAnsi="仿宋" w:eastAsia="仿宋" w:cs="仿宋"/>
              <w:b/>
              <w:bCs/>
              <w:color w:val="auto"/>
              <w:sz w:val="32"/>
              <w:szCs w:val="32"/>
              <w:highlight w:val="none"/>
            </w:rPr>
            <w:fldChar w:fldCharType="separate"/>
          </w:r>
        </w:p>
        <w:p w14:paraId="038CB11A">
          <w:pPr>
            <w:pStyle w:val="98"/>
            <w:tabs>
              <w:tab w:val="right" w:leader="dot" w:pos="9746"/>
            </w:tabs>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rPr>
            <w:fldChar w:fldCharType="begin"/>
          </w:r>
          <w:r>
            <w:rPr>
              <w:rFonts w:hint="eastAsia" w:ascii="仿宋" w:hAnsi="仿宋" w:eastAsia="仿宋" w:cs="仿宋"/>
              <w:b/>
              <w:bCs/>
              <w:color w:val="auto"/>
              <w:sz w:val="32"/>
              <w:szCs w:val="32"/>
              <w:highlight w:val="none"/>
            </w:rPr>
            <w:instrText xml:space="preserve"> HYPERLINK \l _Toc11776 </w:instrText>
          </w:r>
          <w:r>
            <w:rPr>
              <w:rFonts w:hint="eastAsia" w:ascii="仿宋" w:hAnsi="仿宋" w:eastAsia="仿宋" w:cs="仿宋"/>
              <w:b/>
              <w:bCs/>
              <w:color w:val="auto"/>
              <w:sz w:val="32"/>
              <w:szCs w:val="32"/>
              <w:highlight w:val="none"/>
            </w:rPr>
            <w:fldChar w:fldCharType="separate"/>
          </w:r>
          <w:r>
            <w:rPr>
              <w:rFonts w:hint="eastAsia" w:ascii="仿宋" w:hAnsi="仿宋" w:eastAsia="仿宋" w:cs="仿宋"/>
              <w:b/>
              <w:bCs/>
              <w:color w:val="auto"/>
              <w:sz w:val="32"/>
              <w:szCs w:val="32"/>
              <w:highlight w:val="none"/>
            </w:rPr>
            <w:t xml:space="preserve">第一章 </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rPr>
            <w:t>竞争性磋商公告</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rPr>
            <w:fldChar w:fldCharType="end"/>
          </w:r>
          <w:r>
            <w:rPr>
              <w:rFonts w:hint="eastAsia" w:ascii="仿宋" w:hAnsi="仿宋" w:eastAsia="仿宋" w:cs="仿宋"/>
              <w:b/>
              <w:bCs/>
              <w:color w:val="auto"/>
              <w:sz w:val="32"/>
              <w:szCs w:val="32"/>
              <w:highlight w:val="none"/>
              <w:lang w:val="en-US" w:eastAsia="zh-CN"/>
            </w:rPr>
            <w:t>1</w:t>
          </w:r>
        </w:p>
        <w:p w14:paraId="30FEC458">
          <w:pPr>
            <w:pStyle w:val="98"/>
            <w:tabs>
              <w:tab w:val="right" w:leader="dot" w:pos="9746"/>
            </w:tabs>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rPr>
            <w:fldChar w:fldCharType="begin"/>
          </w:r>
          <w:r>
            <w:rPr>
              <w:rFonts w:hint="eastAsia" w:ascii="仿宋" w:hAnsi="仿宋" w:eastAsia="仿宋" w:cs="仿宋"/>
              <w:b/>
              <w:bCs/>
              <w:color w:val="auto"/>
              <w:sz w:val="32"/>
              <w:szCs w:val="32"/>
              <w:highlight w:val="none"/>
            </w:rPr>
            <w:instrText xml:space="preserve"> HYPERLINK \l _Toc19173 </w:instrText>
          </w:r>
          <w:r>
            <w:rPr>
              <w:rFonts w:hint="eastAsia" w:ascii="仿宋" w:hAnsi="仿宋" w:eastAsia="仿宋" w:cs="仿宋"/>
              <w:b/>
              <w:bCs/>
              <w:color w:val="auto"/>
              <w:sz w:val="32"/>
              <w:szCs w:val="32"/>
              <w:highlight w:val="none"/>
            </w:rPr>
            <w:fldChar w:fldCharType="separate"/>
          </w:r>
          <w:r>
            <w:rPr>
              <w:rFonts w:hint="eastAsia" w:ascii="仿宋" w:hAnsi="仿宋" w:eastAsia="仿宋" w:cs="仿宋"/>
              <w:b/>
              <w:bCs/>
              <w:color w:val="auto"/>
              <w:sz w:val="32"/>
              <w:szCs w:val="32"/>
              <w:highlight w:val="none"/>
            </w:rPr>
            <w:t>第二章  供应商须知</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rPr>
            <w:fldChar w:fldCharType="end"/>
          </w:r>
          <w:r>
            <w:rPr>
              <w:rFonts w:hint="eastAsia" w:ascii="仿宋" w:hAnsi="仿宋" w:eastAsia="仿宋" w:cs="仿宋"/>
              <w:b/>
              <w:bCs/>
              <w:color w:val="auto"/>
              <w:sz w:val="32"/>
              <w:szCs w:val="32"/>
              <w:highlight w:val="none"/>
              <w:lang w:val="en-US" w:eastAsia="zh-CN"/>
            </w:rPr>
            <w:t>5</w:t>
          </w:r>
        </w:p>
        <w:p w14:paraId="04EF489E">
          <w:pPr>
            <w:pStyle w:val="98"/>
            <w:tabs>
              <w:tab w:val="right" w:leader="dot" w:pos="9746"/>
            </w:tabs>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rPr>
            <w:fldChar w:fldCharType="begin"/>
          </w:r>
          <w:r>
            <w:rPr>
              <w:rFonts w:hint="eastAsia" w:ascii="仿宋" w:hAnsi="仿宋" w:eastAsia="仿宋" w:cs="仿宋"/>
              <w:b/>
              <w:bCs/>
              <w:color w:val="auto"/>
              <w:sz w:val="32"/>
              <w:szCs w:val="32"/>
              <w:highlight w:val="none"/>
            </w:rPr>
            <w:instrText xml:space="preserve"> HYPERLINK \l _Toc11638 </w:instrText>
          </w:r>
          <w:r>
            <w:rPr>
              <w:rFonts w:hint="eastAsia" w:ascii="仿宋" w:hAnsi="仿宋" w:eastAsia="仿宋" w:cs="仿宋"/>
              <w:b/>
              <w:bCs/>
              <w:color w:val="auto"/>
              <w:sz w:val="32"/>
              <w:szCs w:val="32"/>
              <w:highlight w:val="none"/>
            </w:rPr>
            <w:fldChar w:fldCharType="separate"/>
          </w:r>
          <w:r>
            <w:rPr>
              <w:rFonts w:hint="eastAsia" w:ascii="仿宋" w:hAnsi="仿宋" w:eastAsia="仿宋" w:cs="仿宋"/>
              <w:b/>
              <w:bCs/>
              <w:color w:val="auto"/>
              <w:sz w:val="32"/>
              <w:szCs w:val="32"/>
              <w:highlight w:val="none"/>
            </w:rPr>
            <w:t>第三章  采购需求</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rPr>
            <w:fldChar w:fldCharType="begin"/>
          </w:r>
          <w:r>
            <w:rPr>
              <w:rFonts w:hint="eastAsia" w:ascii="仿宋" w:hAnsi="仿宋" w:eastAsia="仿宋" w:cs="仿宋"/>
              <w:b/>
              <w:bCs/>
              <w:color w:val="auto"/>
              <w:sz w:val="32"/>
              <w:szCs w:val="32"/>
              <w:highlight w:val="none"/>
            </w:rPr>
            <w:instrText xml:space="preserve"> PAGEREF _Toc11638 \h </w:instrText>
          </w:r>
          <w:r>
            <w:rPr>
              <w:rFonts w:hint="eastAsia" w:ascii="仿宋" w:hAnsi="仿宋" w:eastAsia="仿宋" w:cs="仿宋"/>
              <w:b/>
              <w:bCs/>
              <w:color w:val="auto"/>
              <w:sz w:val="32"/>
              <w:szCs w:val="32"/>
              <w:highlight w:val="none"/>
            </w:rPr>
            <w:fldChar w:fldCharType="separate"/>
          </w:r>
          <w:r>
            <w:rPr>
              <w:rFonts w:hint="eastAsia" w:ascii="仿宋" w:hAnsi="仿宋" w:eastAsia="仿宋" w:cs="仿宋"/>
              <w:b/>
              <w:bCs/>
              <w:color w:val="auto"/>
              <w:sz w:val="32"/>
              <w:szCs w:val="32"/>
              <w:highlight w:val="none"/>
            </w:rPr>
            <w:t>20</w:t>
          </w:r>
          <w:r>
            <w:rPr>
              <w:rFonts w:hint="eastAsia" w:ascii="仿宋" w:hAnsi="仿宋" w:eastAsia="仿宋" w:cs="仿宋"/>
              <w:b/>
              <w:bCs/>
              <w:color w:val="auto"/>
              <w:sz w:val="32"/>
              <w:szCs w:val="32"/>
              <w:highlight w:val="none"/>
            </w:rPr>
            <w:fldChar w:fldCharType="end"/>
          </w:r>
          <w:r>
            <w:rPr>
              <w:rFonts w:hint="eastAsia" w:ascii="仿宋" w:hAnsi="仿宋" w:eastAsia="仿宋" w:cs="仿宋"/>
              <w:b/>
              <w:bCs/>
              <w:color w:val="auto"/>
              <w:sz w:val="32"/>
              <w:szCs w:val="32"/>
              <w:highlight w:val="none"/>
            </w:rPr>
            <w:fldChar w:fldCharType="end"/>
          </w:r>
        </w:p>
        <w:p w14:paraId="53073ABE">
          <w:pPr>
            <w:pStyle w:val="98"/>
            <w:tabs>
              <w:tab w:val="right" w:leader="dot" w:pos="9746"/>
            </w:tabs>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rPr>
            <w:fldChar w:fldCharType="begin"/>
          </w:r>
          <w:r>
            <w:rPr>
              <w:rFonts w:hint="eastAsia" w:ascii="仿宋" w:hAnsi="仿宋" w:eastAsia="仿宋" w:cs="仿宋"/>
              <w:b/>
              <w:bCs/>
              <w:color w:val="auto"/>
              <w:sz w:val="32"/>
              <w:szCs w:val="32"/>
              <w:highlight w:val="none"/>
            </w:rPr>
            <w:instrText xml:space="preserve"> HYPERLINK \l _Toc19699 </w:instrText>
          </w:r>
          <w:r>
            <w:rPr>
              <w:rFonts w:hint="eastAsia" w:ascii="仿宋" w:hAnsi="仿宋" w:eastAsia="仿宋" w:cs="仿宋"/>
              <w:b/>
              <w:bCs/>
              <w:color w:val="auto"/>
              <w:sz w:val="32"/>
              <w:szCs w:val="32"/>
              <w:highlight w:val="none"/>
            </w:rPr>
            <w:fldChar w:fldCharType="separate"/>
          </w:r>
          <w:r>
            <w:rPr>
              <w:rFonts w:hint="eastAsia" w:ascii="仿宋" w:hAnsi="仿宋" w:eastAsia="仿宋" w:cs="仿宋"/>
              <w:b/>
              <w:bCs/>
              <w:color w:val="auto"/>
              <w:sz w:val="32"/>
              <w:szCs w:val="32"/>
              <w:highlight w:val="none"/>
            </w:rPr>
            <w:t>第四章  磋商原则和程序</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rPr>
            <w:fldChar w:fldCharType="begin"/>
          </w:r>
          <w:r>
            <w:rPr>
              <w:rFonts w:hint="eastAsia" w:ascii="仿宋" w:hAnsi="仿宋" w:eastAsia="仿宋" w:cs="仿宋"/>
              <w:b/>
              <w:bCs/>
              <w:color w:val="auto"/>
              <w:sz w:val="32"/>
              <w:szCs w:val="32"/>
              <w:highlight w:val="none"/>
            </w:rPr>
            <w:instrText xml:space="preserve"> PAGEREF _Toc19699 \h </w:instrText>
          </w:r>
          <w:r>
            <w:rPr>
              <w:rFonts w:hint="eastAsia" w:ascii="仿宋" w:hAnsi="仿宋" w:eastAsia="仿宋" w:cs="仿宋"/>
              <w:b/>
              <w:bCs/>
              <w:color w:val="auto"/>
              <w:sz w:val="32"/>
              <w:szCs w:val="32"/>
              <w:highlight w:val="none"/>
            </w:rPr>
            <w:fldChar w:fldCharType="separate"/>
          </w:r>
          <w:r>
            <w:rPr>
              <w:rFonts w:hint="eastAsia" w:ascii="仿宋" w:hAnsi="仿宋" w:eastAsia="仿宋" w:cs="仿宋"/>
              <w:b/>
              <w:bCs/>
              <w:color w:val="auto"/>
              <w:sz w:val="32"/>
              <w:szCs w:val="32"/>
              <w:highlight w:val="none"/>
            </w:rPr>
            <w:t>23</w:t>
          </w:r>
          <w:r>
            <w:rPr>
              <w:rFonts w:hint="eastAsia" w:ascii="仿宋" w:hAnsi="仿宋" w:eastAsia="仿宋" w:cs="仿宋"/>
              <w:b/>
              <w:bCs/>
              <w:color w:val="auto"/>
              <w:sz w:val="32"/>
              <w:szCs w:val="32"/>
              <w:highlight w:val="none"/>
            </w:rPr>
            <w:fldChar w:fldCharType="end"/>
          </w:r>
          <w:r>
            <w:rPr>
              <w:rFonts w:hint="eastAsia" w:ascii="仿宋" w:hAnsi="仿宋" w:eastAsia="仿宋" w:cs="仿宋"/>
              <w:b/>
              <w:bCs/>
              <w:color w:val="auto"/>
              <w:sz w:val="32"/>
              <w:szCs w:val="32"/>
              <w:highlight w:val="none"/>
            </w:rPr>
            <w:fldChar w:fldCharType="end"/>
          </w:r>
        </w:p>
        <w:p w14:paraId="444BB316">
          <w:pPr>
            <w:pStyle w:val="98"/>
            <w:tabs>
              <w:tab w:val="right" w:leader="dot" w:pos="9746"/>
            </w:tabs>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rPr>
            <w:fldChar w:fldCharType="begin"/>
          </w:r>
          <w:r>
            <w:rPr>
              <w:rFonts w:hint="eastAsia" w:ascii="仿宋" w:hAnsi="仿宋" w:eastAsia="仿宋" w:cs="仿宋"/>
              <w:b/>
              <w:bCs/>
              <w:color w:val="auto"/>
              <w:sz w:val="32"/>
              <w:szCs w:val="32"/>
              <w:highlight w:val="none"/>
            </w:rPr>
            <w:instrText xml:space="preserve"> HYPERLINK \l _Toc29 </w:instrText>
          </w:r>
          <w:r>
            <w:rPr>
              <w:rFonts w:hint="eastAsia" w:ascii="仿宋" w:hAnsi="仿宋" w:eastAsia="仿宋" w:cs="仿宋"/>
              <w:b/>
              <w:bCs/>
              <w:color w:val="auto"/>
              <w:sz w:val="32"/>
              <w:szCs w:val="32"/>
              <w:highlight w:val="none"/>
            </w:rPr>
            <w:fldChar w:fldCharType="separate"/>
          </w:r>
          <w:r>
            <w:rPr>
              <w:rFonts w:hint="eastAsia" w:ascii="仿宋" w:hAnsi="仿宋" w:eastAsia="仿宋" w:cs="仿宋"/>
              <w:b/>
              <w:bCs/>
              <w:color w:val="auto"/>
              <w:sz w:val="32"/>
              <w:szCs w:val="32"/>
              <w:highlight w:val="none"/>
            </w:rPr>
            <w:t xml:space="preserve">第五章 </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rPr>
            <w:t>合同主要条款（仅供参考）</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rPr>
            <w:fldChar w:fldCharType="begin"/>
          </w:r>
          <w:r>
            <w:rPr>
              <w:rFonts w:hint="eastAsia" w:ascii="仿宋" w:hAnsi="仿宋" w:eastAsia="仿宋" w:cs="仿宋"/>
              <w:b/>
              <w:bCs/>
              <w:color w:val="auto"/>
              <w:sz w:val="32"/>
              <w:szCs w:val="32"/>
              <w:highlight w:val="none"/>
            </w:rPr>
            <w:instrText xml:space="preserve"> PAGEREF _Toc29 \h </w:instrText>
          </w:r>
          <w:r>
            <w:rPr>
              <w:rFonts w:hint="eastAsia" w:ascii="仿宋" w:hAnsi="仿宋" w:eastAsia="仿宋" w:cs="仿宋"/>
              <w:b/>
              <w:bCs/>
              <w:color w:val="auto"/>
              <w:sz w:val="32"/>
              <w:szCs w:val="32"/>
              <w:highlight w:val="none"/>
            </w:rPr>
            <w:fldChar w:fldCharType="separate"/>
          </w:r>
          <w:r>
            <w:rPr>
              <w:rFonts w:hint="eastAsia" w:ascii="仿宋" w:hAnsi="仿宋" w:eastAsia="仿宋" w:cs="仿宋"/>
              <w:b/>
              <w:bCs/>
              <w:color w:val="auto"/>
              <w:sz w:val="32"/>
              <w:szCs w:val="32"/>
              <w:highlight w:val="none"/>
            </w:rPr>
            <w:t>30</w:t>
          </w:r>
          <w:r>
            <w:rPr>
              <w:rFonts w:hint="eastAsia" w:ascii="仿宋" w:hAnsi="仿宋" w:eastAsia="仿宋" w:cs="仿宋"/>
              <w:b/>
              <w:bCs/>
              <w:color w:val="auto"/>
              <w:sz w:val="32"/>
              <w:szCs w:val="32"/>
              <w:highlight w:val="none"/>
            </w:rPr>
            <w:fldChar w:fldCharType="end"/>
          </w:r>
          <w:r>
            <w:rPr>
              <w:rFonts w:hint="eastAsia" w:ascii="仿宋" w:hAnsi="仿宋" w:eastAsia="仿宋" w:cs="仿宋"/>
              <w:b/>
              <w:bCs/>
              <w:color w:val="auto"/>
              <w:sz w:val="32"/>
              <w:szCs w:val="32"/>
              <w:highlight w:val="none"/>
            </w:rPr>
            <w:fldChar w:fldCharType="end"/>
          </w:r>
        </w:p>
        <w:p w14:paraId="6663F78B">
          <w:pPr>
            <w:pStyle w:val="98"/>
            <w:tabs>
              <w:tab w:val="right" w:leader="dot" w:pos="9746"/>
            </w:tabs>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rPr>
            <w:fldChar w:fldCharType="begin"/>
          </w:r>
          <w:r>
            <w:rPr>
              <w:rFonts w:hint="eastAsia" w:ascii="仿宋" w:hAnsi="仿宋" w:eastAsia="仿宋" w:cs="仿宋"/>
              <w:b/>
              <w:bCs/>
              <w:color w:val="auto"/>
              <w:sz w:val="32"/>
              <w:szCs w:val="32"/>
              <w:highlight w:val="none"/>
            </w:rPr>
            <w:instrText xml:space="preserve"> HYPERLINK \l _Toc15409 </w:instrText>
          </w:r>
          <w:r>
            <w:rPr>
              <w:rFonts w:hint="eastAsia" w:ascii="仿宋" w:hAnsi="仿宋" w:eastAsia="仿宋" w:cs="仿宋"/>
              <w:b/>
              <w:bCs/>
              <w:color w:val="auto"/>
              <w:sz w:val="32"/>
              <w:szCs w:val="32"/>
              <w:highlight w:val="none"/>
            </w:rPr>
            <w:fldChar w:fldCharType="separate"/>
          </w:r>
          <w:r>
            <w:rPr>
              <w:rFonts w:hint="eastAsia" w:ascii="仿宋" w:hAnsi="仿宋" w:eastAsia="仿宋" w:cs="仿宋"/>
              <w:b/>
              <w:bCs/>
              <w:color w:val="auto"/>
              <w:sz w:val="32"/>
              <w:szCs w:val="32"/>
              <w:highlight w:val="none"/>
            </w:rPr>
            <w:t>第六章  响应文件格式</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rPr>
            <w:fldChar w:fldCharType="begin"/>
          </w:r>
          <w:r>
            <w:rPr>
              <w:rFonts w:hint="eastAsia" w:ascii="仿宋" w:hAnsi="仿宋" w:eastAsia="仿宋" w:cs="仿宋"/>
              <w:b/>
              <w:bCs/>
              <w:color w:val="auto"/>
              <w:sz w:val="32"/>
              <w:szCs w:val="32"/>
              <w:highlight w:val="none"/>
            </w:rPr>
            <w:instrText xml:space="preserve"> PAGEREF _Toc15409 \h </w:instrText>
          </w:r>
          <w:r>
            <w:rPr>
              <w:rFonts w:hint="eastAsia" w:ascii="仿宋" w:hAnsi="仿宋" w:eastAsia="仿宋" w:cs="仿宋"/>
              <w:b/>
              <w:bCs/>
              <w:color w:val="auto"/>
              <w:sz w:val="32"/>
              <w:szCs w:val="32"/>
              <w:highlight w:val="none"/>
            </w:rPr>
            <w:fldChar w:fldCharType="separate"/>
          </w:r>
          <w:r>
            <w:rPr>
              <w:rFonts w:hint="eastAsia" w:ascii="仿宋" w:hAnsi="仿宋" w:eastAsia="仿宋" w:cs="仿宋"/>
              <w:b/>
              <w:bCs/>
              <w:color w:val="auto"/>
              <w:sz w:val="32"/>
              <w:szCs w:val="32"/>
              <w:highlight w:val="none"/>
            </w:rPr>
            <w:t>34</w:t>
          </w:r>
          <w:r>
            <w:rPr>
              <w:rFonts w:hint="eastAsia" w:ascii="仿宋" w:hAnsi="仿宋" w:eastAsia="仿宋" w:cs="仿宋"/>
              <w:b/>
              <w:bCs/>
              <w:color w:val="auto"/>
              <w:sz w:val="32"/>
              <w:szCs w:val="32"/>
              <w:highlight w:val="none"/>
            </w:rPr>
            <w:fldChar w:fldCharType="end"/>
          </w:r>
          <w:r>
            <w:rPr>
              <w:rFonts w:hint="eastAsia" w:ascii="仿宋" w:hAnsi="仿宋" w:eastAsia="仿宋" w:cs="仿宋"/>
              <w:b/>
              <w:bCs/>
              <w:color w:val="auto"/>
              <w:sz w:val="32"/>
              <w:szCs w:val="32"/>
              <w:highlight w:val="none"/>
            </w:rPr>
            <w:fldChar w:fldCharType="end"/>
          </w:r>
        </w:p>
        <w:p w14:paraId="740C04C2">
          <w:pPr>
            <w:rPr>
              <w:rFonts w:hint="eastAsia" w:ascii="仿宋" w:hAnsi="仿宋" w:eastAsia="仿宋" w:cs="仿宋"/>
              <w:color w:val="auto"/>
              <w:highlight w:val="none"/>
            </w:rPr>
          </w:pPr>
          <w:r>
            <w:rPr>
              <w:rFonts w:hint="eastAsia" w:ascii="仿宋" w:hAnsi="仿宋" w:eastAsia="仿宋" w:cs="仿宋"/>
              <w:b/>
              <w:bCs/>
              <w:color w:val="auto"/>
              <w:sz w:val="32"/>
              <w:szCs w:val="32"/>
              <w:highlight w:val="none"/>
            </w:rPr>
            <w:fldChar w:fldCharType="end"/>
          </w:r>
        </w:p>
      </w:sdtContent>
    </w:sdt>
    <w:p w14:paraId="5D0AA950">
      <w:pPr>
        <w:spacing w:line="480" w:lineRule="exact"/>
        <w:ind w:firstLine="105"/>
        <w:rPr>
          <w:rFonts w:hint="eastAsia" w:ascii="仿宋" w:hAnsi="仿宋" w:eastAsia="仿宋" w:cs="仿宋"/>
          <w:color w:val="auto"/>
          <w:highlight w:val="none"/>
        </w:rPr>
      </w:pPr>
    </w:p>
    <w:p w14:paraId="11785E0E">
      <w:pPr>
        <w:spacing w:line="360" w:lineRule="exact"/>
        <w:rPr>
          <w:rFonts w:hint="eastAsia" w:ascii="仿宋" w:hAnsi="仿宋" w:eastAsia="仿宋" w:cs="仿宋"/>
          <w:color w:val="auto"/>
          <w:szCs w:val="21"/>
          <w:highlight w:val="none"/>
        </w:rPr>
      </w:pPr>
    </w:p>
    <w:p w14:paraId="0B8FC6AD">
      <w:pPr>
        <w:spacing w:line="360" w:lineRule="exact"/>
        <w:rPr>
          <w:rFonts w:hint="eastAsia" w:ascii="仿宋" w:hAnsi="仿宋" w:eastAsia="仿宋" w:cs="仿宋"/>
          <w:color w:val="auto"/>
          <w:szCs w:val="21"/>
          <w:highlight w:val="none"/>
        </w:rPr>
      </w:pPr>
    </w:p>
    <w:p w14:paraId="1D622C93">
      <w:pPr>
        <w:pStyle w:val="2"/>
        <w:ind w:firstLine="5301" w:firstLineChars="1200"/>
        <w:outlineLvl w:val="9"/>
        <w:rPr>
          <w:rFonts w:hint="eastAsia" w:ascii="仿宋" w:hAnsi="仿宋" w:eastAsia="仿宋" w:cs="仿宋"/>
          <w:color w:val="auto"/>
          <w:highlight w:val="none"/>
        </w:rPr>
        <w:sectPr>
          <w:pgSz w:w="11906" w:h="16838"/>
          <w:pgMar w:top="1440" w:right="1080" w:bottom="1440" w:left="1080" w:header="567" w:footer="567" w:gutter="0"/>
          <w:pgBorders>
            <w:top w:val="none" w:sz="0" w:space="0"/>
            <w:left w:val="none" w:sz="0" w:space="0"/>
            <w:bottom w:val="thickThinSmallGap" w:color="auto" w:sz="18" w:space="1"/>
            <w:right w:val="none" w:sz="0" w:space="0"/>
          </w:pgBorders>
          <w:pgNumType w:start="1"/>
          <w:cols w:space="720" w:num="1"/>
          <w:titlePg/>
          <w:docGrid w:type="lines" w:linePitch="312" w:charSpace="0"/>
        </w:sectPr>
      </w:pPr>
      <w:bookmarkStart w:id="10" w:name="_Toc30460"/>
      <w:bookmarkStart w:id="11" w:name="_Toc8907"/>
    </w:p>
    <w:p w14:paraId="7EC9427B">
      <w:pPr>
        <w:pStyle w:val="2"/>
        <w:ind w:firstLine="2650" w:firstLineChars="600"/>
        <w:rPr>
          <w:rFonts w:hint="eastAsia" w:ascii="仿宋" w:hAnsi="仿宋" w:eastAsia="仿宋" w:cs="仿宋"/>
          <w:color w:val="auto"/>
          <w:highlight w:val="none"/>
        </w:rPr>
      </w:pPr>
      <w:bookmarkStart w:id="12" w:name="_Toc11776"/>
      <w:r>
        <w:rPr>
          <w:rFonts w:hint="eastAsia" w:ascii="仿宋" w:hAnsi="仿宋" w:eastAsia="仿宋" w:cs="仿宋"/>
          <w:color w:val="auto"/>
          <w:highlight w:val="none"/>
        </w:rPr>
        <w:t>第一章 竞争性磋商公告</w:t>
      </w:r>
      <w:bookmarkEnd w:id="10"/>
      <w:bookmarkEnd w:id="11"/>
      <w:bookmarkEnd w:id="12"/>
    </w:p>
    <w:tbl>
      <w:tblPr>
        <w:tblStyle w:val="34"/>
        <w:tblW w:w="0" w:type="auto"/>
        <w:tblInd w:w="0" w:type="dxa"/>
        <w:tblBorders>
          <w:top w:val="single" w:color="auto" w:sz="18" w:space="0"/>
          <w:left w:val="single" w:color="auto" w:sz="18" w:space="0"/>
          <w:bottom w:val="single" w:color="auto" w:sz="18" w:space="0"/>
          <w:right w:val="single" w:color="auto" w:sz="18" w:space="0"/>
          <w:insideH w:val="single" w:color="auto" w:sz="4" w:space="0"/>
          <w:insideV w:val="none" w:color="auto" w:sz="0" w:space="0"/>
        </w:tblBorders>
        <w:tblLayout w:type="autofit"/>
        <w:tblCellMar>
          <w:top w:w="0" w:type="dxa"/>
          <w:left w:w="108" w:type="dxa"/>
          <w:bottom w:w="0" w:type="dxa"/>
          <w:right w:w="108" w:type="dxa"/>
        </w:tblCellMar>
      </w:tblPr>
      <w:tblGrid>
        <w:gridCol w:w="9962"/>
      </w:tblGrid>
      <w:tr w14:paraId="24D13507">
        <w:tblPrEx>
          <w:tblBorders>
            <w:top w:val="single" w:color="auto" w:sz="18" w:space="0"/>
            <w:left w:val="single" w:color="auto" w:sz="18" w:space="0"/>
            <w:bottom w:val="single" w:color="auto" w:sz="18" w:space="0"/>
            <w:right w:val="single" w:color="auto" w:sz="18" w:space="0"/>
            <w:insideH w:val="single" w:color="auto" w:sz="4" w:space="0"/>
            <w:insideV w:val="none" w:color="auto" w:sz="0" w:space="0"/>
          </w:tblBorders>
          <w:tblCellMar>
            <w:top w:w="0" w:type="dxa"/>
            <w:left w:w="108" w:type="dxa"/>
            <w:bottom w:w="0" w:type="dxa"/>
            <w:right w:w="108" w:type="dxa"/>
          </w:tblCellMar>
        </w:tblPrEx>
        <w:tc>
          <w:tcPr>
            <w:tcW w:w="9962" w:type="dxa"/>
            <w:tcBorders>
              <w:tl2br w:val="nil"/>
              <w:tr2bl w:val="nil"/>
            </w:tcBorders>
          </w:tcPr>
          <w:p w14:paraId="7A9F011A">
            <w:pPr>
              <w:pStyle w:val="28"/>
              <w:widowControl/>
              <w:spacing w:after="0" w:afterAutospacing="0"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项目概况 ：</w:t>
            </w:r>
          </w:p>
          <w:p w14:paraId="7BC0B4B2">
            <w:pPr>
              <w:pStyle w:val="28"/>
              <w:widowControl/>
              <w:spacing w:after="0" w:afterAutospacing="0" w:line="360" w:lineRule="auto"/>
              <w:ind w:firstLine="480" w:firstLineChars="200"/>
              <w:rPr>
                <w:rFonts w:hint="eastAsia" w:ascii="仿宋" w:hAnsi="仿宋" w:eastAsia="仿宋" w:cs="仿宋"/>
                <w:color w:val="auto"/>
                <w:sz w:val="25"/>
                <w:szCs w:val="25"/>
                <w:highlight w:val="none"/>
              </w:rPr>
            </w:pPr>
            <w:r>
              <w:rPr>
                <w:rFonts w:hint="eastAsia" w:ascii="仿宋" w:hAnsi="仿宋" w:eastAsia="仿宋" w:cs="仿宋"/>
                <w:color w:val="auto"/>
                <w:highlight w:val="none"/>
                <w:lang w:eastAsia="zh-CN"/>
              </w:rPr>
              <w:t>浙江省湖州市中级人民法院安保服务采购项目</w:t>
            </w:r>
            <w:r>
              <w:rPr>
                <w:rFonts w:hint="eastAsia" w:ascii="仿宋" w:hAnsi="仿宋" w:eastAsia="仿宋" w:cs="仿宋"/>
                <w:color w:val="auto"/>
                <w:highlight w:val="none"/>
              </w:rPr>
              <w:t>的潜在供应商应在政采云平台https://www.zcygov.cn/获取（下载）采购文件，并于202</w:t>
            </w:r>
            <w:r>
              <w:rPr>
                <w:rFonts w:hint="eastAsia" w:ascii="仿宋" w:hAnsi="仿宋" w:eastAsia="仿宋" w:cs="仿宋"/>
                <w:color w:val="auto"/>
                <w:highlight w:val="none"/>
                <w:lang w:val="en-US" w:eastAsia="zh-CN"/>
              </w:rPr>
              <w:t>4</w:t>
            </w:r>
            <w:r>
              <w:rPr>
                <w:rFonts w:hint="eastAsia" w:ascii="仿宋" w:hAnsi="仿宋" w:eastAsia="仿宋" w:cs="仿宋"/>
                <w:color w:val="auto"/>
                <w:highlight w:val="none"/>
              </w:rPr>
              <w:t>年0</w:t>
            </w:r>
            <w:r>
              <w:rPr>
                <w:rFonts w:hint="eastAsia" w:ascii="仿宋" w:hAnsi="仿宋" w:eastAsia="仿宋" w:cs="仿宋"/>
                <w:color w:val="auto"/>
                <w:highlight w:val="none"/>
                <w:lang w:val="en-US" w:eastAsia="zh-CN"/>
              </w:rPr>
              <w:t>8</w:t>
            </w:r>
            <w:r>
              <w:rPr>
                <w:rFonts w:hint="eastAsia" w:ascii="仿宋" w:hAnsi="仿宋" w:eastAsia="仿宋" w:cs="仿宋"/>
                <w:color w:val="auto"/>
                <w:highlight w:val="none"/>
              </w:rPr>
              <w:t>月</w:t>
            </w:r>
            <w:r>
              <w:rPr>
                <w:rFonts w:hint="eastAsia" w:ascii="仿宋" w:hAnsi="仿宋" w:eastAsia="仿宋" w:cs="仿宋"/>
                <w:color w:val="auto"/>
                <w:highlight w:val="none"/>
                <w:lang w:val="en-US" w:eastAsia="zh-CN"/>
              </w:rPr>
              <w:t>13</w:t>
            </w:r>
            <w:r>
              <w:rPr>
                <w:rFonts w:hint="eastAsia" w:ascii="仿宋" w:hAnsi="仿宋" w:eastAsia="仿宋" w:cs="仿宋"/>
                <w:color w:val="auto"/>
                <w:highlight w:val="none"/>
              </w:rPr>
              <w:t>日</w:t>
            </w:r>
            <w:r>
              <w:rPr>
                <w:rFonts w:hint="eastAsia" w:ascii="仿宋" w:hAnsi="仿宋" w:eastAsia="仿宋" w:cs="仿宋"/>
                <w:color w:val="auto"/>
                <w:highlight w:val="none"/>
                <w:lang w:val="en-US" w:eastAsia="zh-CN"/>
              </w:rPr>
              <w:t>14</w:t>
            </w:r>
            <w:r>
              <w:rPr>
                <w:rFonts w:hint="eastAsia" w:ascii="仿宋" w:hAnsi="仿宋" w:eastAsia="仿宋" w:cs="仿宋"/>
                <w:color w:val="auto"/>
                <w:highlight w:val="none"/>
              </w:rPr>
              <w:t>:00 （北京时间）前提交（上传）响应文件。      </w:t>
            </w:r>
          </w:p>
        </w:tc>
      </w:tr>
    </w:tbl>
    <w:p w14:paraId="4BA1BA63">
      <w:pPr>
        <w:pStyle w:val="28"/>
        <w:widowControl/>
        <w:spacing w:before="0" w:beforeAutospacing="0" w:after="0" w:afterAutospacing="0" w:line="360" w:lineRule="auto"/>
        <w:rPr>
          <w:rFonts w:hint="eastAsia" w:ascii="仿宋" w:hAnsi="仿宋" w:eastAsia="仿宋" w:cs="仿宋"/>
          <w:color w:val="auto"/>
          <w:highlight w:val="none"/>
        </w:rPr>
      </w:pPr>
      <w:r>
        <w:rPr>
          <w:rStyle w:val="36"/>
          <w:rFonts w:hint="eastAsia" w:ascii="仿宋" w:hAnsi="仿宋" w:eastAsia="仿宋" w:cs="仿宋"/>
          <w:color w:val="auto"/>
          <w:highlight w:val="none"/>
        </w:rPr>
        <w:t>一、项目基本情况</w:t>
      </w:r>
    </w:p>
    <w:p w14:paraId="4F5B8E5C">
      <w:pPr>
        <w:pStyle w:val="28"/>
        <w:widowControl/>
        <w:spacing w:before="0" w:beforeAutospacing="0" w:after="0" w:afterAutospacing="0" w:line="360" w:lineRule="auto"/>
        <w:ind w:firstLine="482" w:firstLineChars="200"/>
        <w:jc w:val="left"/>
        <w:rPr>
          <w:rFonts w:hint="eastAsia" w:ascii="仿宋" w:hAnsi="仿宋" w:eastAsia="仿宋" w:cs="仿宋"/>
          <w:color w:val="auto"/>
          <w:highlight w:val="none"/>
          <w:lang w:eastAsia="zh-CN"/>
        </w:rPr>
      </w:pPr>
      <w:r>
        <w:rPr>
          <w:rFonts w:hint="eastAsia" w:ascii="仿宋" w:hAnsi="仿宋" w:eastAsia="仿宋" w:cs="仿宋"/>
          <w:b/>
          <w:bCs/>
          <w:color w:val="auto"/>
          <w:highlight w:val="none"/>
        </w:rPr>
        <w:t>项目编号：</w:t>
      </w:r>
      <w:r>
        <w:rPr>
          <w:rFonts w:hint="eastAsia" w:ascii="仿宋" w:hAnsi="仿宋" w:eastAsia="仿宋" w:cs="仿宋"/>
          <w:color w:val="auto"/>
          <w:highlight w:val="none"/>
          <w:lang w:eastAsia="zh-CN"/>
        </w:rPr>
        <w:t>XCXHZ-202</w:t>
      </w:r>
      <w:r>
        <w:rPr>
          <w:rFonts w:hint="eastAsia" w:ascii="仿宋" w:hAnsi="仿宋" w:eastAsia="仿宋" w:cs="仿宋"/>
          <w:color w:val="auto"/>
          <w:highlight w:val="none"/>
          <w:lang w:val="en-US" w:eastAsia="zh-CN"/>
        </w:rPr>
        <w:t>4</w:t>
      </w:r>
      <w:r>
        <w:rPr>
          <w:rFonts w:hint="eastAsia" w:ascii="仿宋" w:hAnsi="仿宋" w:eastAsia="仿宋" w:cs="仿宋"/>
          <w:color w:val="auto"/>
          <w:highlight w:val="none"/>
          <w:lang w:eastAsia="zh-CN"/>
        </w:rPr>
        <w:t>-0</w:t>
      </w:r>
      <w:r>
        <w:rPr>
          <w:rFonts w:hint="eastAsia" w:ascii="仿宋" w:hAnsi="仿宋" w:eastAsia="仿宋" w:cs="仿宋"/>
          <w:color w:val="auto"/>
          <w:highlight w:val="none"/>
          <w:lang w:val="en-US" w:eastAsia="zh-CN"/>
        </w:rPr>
        <w:t>39</w:t>
      </w:r>
      <w:r>
        <w:rPr>
          <w:rFonts w:hint="eastAsia" w:ascii="仿宋" w:hAnsi="仿宋" w:eastAsia="仿宋" w:cs="仿宋"/>
          <w:color w:val="auto"/>
          <w:highlight w:val="none"/>
          <w:lang w:eastAsia="zh-CN"/>
        </w:rPr>
        <w:t>（CG）</w:t>
      </w:r>
    </w:p>
    <w:p w14:paraId="6BA7E555">
      <w:pPr>
        <w:pStyle w:val="28"/>
        <w:widowControl/>
        <w:spacing w:before="0" w:beforeAutospacing="0" w:after="0" w:afterAutospacing="0" w:line="360" w:lineRule="auto"/>
        <w:ind w:firstLine="482" w:firstLineChars="200"/>
        <w:jc w:val="left"/>
        <w:rPr>
          <w:rFonts w:hint="eastAsia" w:ascii="仿宋" w:hAnsi="仿宋" w:eastAsia="仿宋" w:cs="仿宋"/>
          <w:color w:val="auto"/>
          <w:highlight w:val="none"/>
          <w:lang w:eastAsia="zh-CN"/>
        </w:rPr>
      </w:pPr>
      <w:r>
        <w:rPr>
          <w:rFonts w:hint="eastAsia" w:ascii="仿宋" w:hAnsi="仿宋" w:eastAsia="仿宋" w:cs="仿宋"/>
          <w:b/>
          <w:bCs/>
          <w:color w:val="auto"/>
          <w:highlight w:val="none"/>
        </w:rPr>
        <w:t>项目名称：</w:t>
      </w:r>
      <w:r>
        <w:rPr>
          <w:rFonts w:hint="eastAsia" w:ascii="仿宋" w:hAnsi="仿宋" w:eastAsia="仿宋" w:cs="仿宋"/>
          <w:color w:val="auto"/>
          <w:highlight w:val="none"/>
          <w:lang w:eastAsia="zh-CN"/>
        </w:rPr>
        <w:t>浙江省湖州市中级人民法院安保服务采购项目</w:t>
      </w:r>
    </w:p>
    <w:p w14:paraId="26B4639F">
      <w:pPr>
        <w:pStyle w:val="28"/>
        <w:widowControl/>
        <w:spacing w:before="0" w:beforeAutospacing="0" w:after="0" w:afterAutospacing="0" w:line="360" w:lineRule="auto"/>
        <w:ind w:firstLine="482" w:firstLineChars="200"/>
        <w:jc w:val="left"/>
        <w:rPr>
          <w:rFonts w:hint="eastAsia" w:ascii="仿宋" w:hAnsi="仿宋" w:eastAsia="仿宋" w:cs="仿宋"/>
          <w:color w:val="auto"/>
          <w:highlight w:val="none"/>
        </w:rPr>
      </w:pPr>
      <w:r>
        <w:rPr>
          <w:rFonts w:hint="eastAsia" w:ascii="仿宋" w:hAnsi="仿宋" w:eastAsia="仿宋" w:cs="仿宋"/>
          <w:b/>
          <w:bCs/>
          <w:color w:val="auto"/>
          <w:highlight w:val="none"/>
        </w:rPr>
        <w:t>采购方式：</w:t>
      </w:r>
      <w:r>
        <w:rPr>
          <w:rFonts w:hint="eastAsia" w:ascii="仿宋" w:hAnsi="仿宋" w:eastAsia="仿宋" w:cs="仿宋"/>
          <w:color w:val="auto"/>
          <w:highlight w:val="none"/>
        </w:rPr>
        <w:t>竞争性磋商</w:t>
      </w:r>
    </w:p>
    <w:p w14:paraId="17F6F420">
      <w:pPr>
        <w:pStyle w:val="28"/>
        <w:widowControl/>
        <w:spacing w:before="0" w:beforeAutospacing="0" w:after="0" w:afterAutospacing="0" w:line="360" w:lineRule="auto"/>
        <w:ind w:firstLine="482" w:firstLineChars="200"/>
        <w:jc w:val="left"/>
        <w:rPr>
          <w:rFonts w:hint="default" w:ascii="仿宋" w:hAnsi="仿宋" w:eastAsia="仿宋" w:cs="仿宋"/>
          <w:color w:val="auto"/>
          <w:highlight w:val="none"/>
          <w:lang w:val="en-US" w:eastAsia="zh-CN"/>
        </w:rPr>
      </w:pPr>
      <w:r>
        <w:rPr>
          <w:rFonts w:hint="eastAsia" w:ascii="仿宋" w:hAnsi="仿宋" w:eastAsia="仿宋" w:cs="仿宋"/>
          <w:b/>
          <w:bCs/>
          <w:color w:val="auto"/>
          <w:highlight w:val="none"/>
        </w:rPr>
        <w:t>预算金额（元）：</w:t>
      </w:r>
      <w:r>
        <w:rPr>
          <w:rFonts w:hint="eastAsia" w:ascii="仿宋" w:hAnsi="仿宋" w:eastAsia="仿宋" w:cs="仿宋"/>
          <w:color w:val="auto"/>
          <w:highlight w:val="none"/>
          <w:lang w:val="en-US" w:eastAsia="zh-CN"/>
        </w:rPr>
        <w:t>1450000</w:t>
      </w:r>
    </w:p>
    <w:p w14:paraId="27E73631">
      <w:pPr>
        <w:pStyle w:val="28"/>
        <w:widowControl/>
        <w:spacing w:before="0" w:beforeAutospacing="0" w:after="0" w:afterAutospacing="0" w:line="360" w:lineRule="auto"/>
        <w:ind w:firstLine="482" w:firstLineChars="200"/>
        <w:jc w:val="left"/>
        <w:rPr>
          <w:rFonts w:hint="default" w:ascii="仿宋" w:hAnsi="仿宋" w:eastAsia="仿宋" w:cs="仿宋"/>
          <w:color w:val="auto"/>
          <w:highlight w:val="none"/>
          <w:lang w:val="en-US" w:eastAsia="zh-CN"/>
        </w:rPr>
      </w:pPr>
      <w:r>
        <w:rPr>
          <w:rFonts w:hint="eastAsia" w:ascii="仿宋" w:hAnsi="仿宋" w:eastAsia="仿宋" w:cs="仿宋"/>
          <w:b/>
          <w:bCs/>
          <w:color w:val="auto"/>
          <w:highlight w:val="none"/>
        </w:rPr>
        <w:t>最高限价（元）：</w:t>
      </w:r>
      <w:r>
        <w:rPr>
          <w:rFonts w:hint="eastAsia" w:ascii="仿宋" w:hAnsi="仿宋" w:eastAsia="仿宋" w:cs="仿宋"/>
          <w:b w:val="0"/>
          <w:bCs w:val="0"/>
          <w:color w:val="auto"/>
          <w:highlight w:val="none"/>
          <w:lang w:val="en-US" w:eastAsia="zh-CN"/>
        </w:rPr>
        <w:t>1450000</w:t>
      </w:r>
    </w:p>
    <w:p w14:paraId="6BDE55CA">
      <w:pPr>
        <w:pStyle w:val="28"/>
        <w:widowControl/>
        <w:spacing w:before="0" w:beforeAutospacing="0" w:after="0" w:afterAutospacing="0" w:line="360" w:lineRule="auto"/>
        <w:ind w:firstLine="482" w:firstLineChars="200"/>
        <w:jc w:val="left"/>
        <w:rPr>
          <w:rFonts w:hint="eastAsia" w:ascii="仿宋" w:hAnsi="仿宋" w:eastAsia="仿宋" w:cs="仿宋"/>
          <w:b/>
          <w:bCs/>
          <w:color w:val="auto"/>
          <w:highlight w:val="none"/>
        </w:rPr>
      </w:pPr>
      <w:r>
        <w:rPr>
          <w:rFonts w:hint="eastAsia" w:ascii="仿宋" w:hAnsi="仿宋" w:eastAsia="仿宋" w:cs="仿宋"/>
          <w:b/>
          <w:bCs/>
          <w:color w:val="auto"/>
          <w:highlight w:val="none"/>
        </w:rPr>
        <w:t>采购需求：</w:t>
      </w:r>
    </w:p>
    <w:p w14:paraId="5E9EEF19">
      <w:pPr>
        <w:pStyle w:val="28"/>
        <w:widowControl/>
        <w:spacing w:before="0" w:beforeAutospacing="0" w:after="0" w:afterAutospacing="0" w:line="360" w:lineRule="auto"/>
        <w:ind w:firstLine="482" w:firstLineChars="200"/>
        <w:jc w:val="left"/>
        <w:rPr>
          <w:rFonts w:hint="eastAsia" w:ascii="仿宋" w:hAnsi="仿宋" w:eastAsia="仿宋" w:cs="仿宋"/>
          <w:color w:val="auto"/>
          <w:highlight w:val="none"/>
        </w:rPr>
      </w:pPr>
      <w:r>
        <w:rPr>
          <w:rFonts w:hint="eastAsia" w:ascii="仿宋" w:hAnsi="仿宋" w:eastAsia="仿宋" w:cs="仿宋"/>
          <w:b/>
          <w:bCs/>
          <w:color w:val="auto"/>
          <w:kern w:val="0"/>
          <w:highlight w:val="none"/>
          <w:lang w:bidi="ar"/>
        </w:rPr>
        <w:t>数量：</w:t>
      </w:r>
      <w:r>
        <w:rPr>
          <w:rFonts w:hint="eastAsia" w:ascii="仿宋" w:hAnsi="仿宋" w:eastAsia="仿宋" w:cs="仿宋"/>
          <w:color w:val="auto"/>
          <w:kern w:val="0"/>
          <w:highlight w:val="none"/>
          <w:lang w:bidi="ar"/>
        </w:rPr>
        <w:t>1</w:t>
      </w:r>
      <w:bookmarkStart w:id="257" w:name="_GoBack"/>
      <w:bookmarkEnd w:id="257"/>
    </w:p>
    <w:p w14:paraId="5FA0AD74">
      <w:pPr>
        <w:pStyle w:val="28"/>
        <w:widowControl/>
        <w:spacing w:before="0" w:beforeAutospacing="0" w:after="0" w:afterAutospacing="0" w:line="360" w:lineRule="auto"/>
        <w:ind w:firstLine="482" w:firstLineChars="200"/>
        <w:jc w:val="left"/>
        <w:rPr>
          <w:rFonts w:hint="default" w:ascii="仿宋" w:hAnsi="仿宋" w:eastAsia="仿宋" w:cs="仿宋"/>
          <w:color w:val="auto"/>
          <w:highlight w:val="none"/>
          <w:lang w:val="en-US" w:eastAsia="zh-CN"/>
        </w:rPr>
      </w:pPr>
      <w:r>
        <w:rPr>
          <w:rFonts w:hint="eastAsia" w:ascii="仿宋" w:hAnsi="仿宋" w:eastAsia="仿宋" w:cs="仿宋"/>
          <w:b/>
          <w:bCs/>
          <w:color w:val="auto"/>
          <w:highlight w:val="none"/>
        </w:rPr>
        <w:t>预算金额（元）：</w:t>
      </w:r>
      <w:r>
        <w:rPr>
          <w:rFonts w:hint="eastAsia" w:ascii="仿宋" w:hAnsi="仿宋" w:eastAsia="仿宋" w:cs="仿宋"/>
          <w:color w:val="auto"/>
          <w:highlight w:val="none"/>
          <w:lang w:val="en-US" w:eastAsia="zh-CN"/>
        </w:rPr>
        <w:t>1450000</w:t>
      </w:r>
    </w:p>
    <w:p w14:paraId="4E44073E">
      <w:pPr>
        <w:pStyle w:val="28"/>
        <w:widowControl/>
        <w:spacing w:before="0" w:beforeAutospacing="0" w:after="0" w:afterAutospacing="0" w:line="360" w:lineRule="auto"/>
        <w:ind w:firstLine="482" w:firstLineChars="200"/>
        <w:jc w:val="left"/>
        <w:rPr>
          <w:rFonts w:hint="eastAsia" w:ascii="仿宋" w:hAnsi="仿宋" w:eastAsia="仿宋" w:cs="仿宋"/>
          <w:color w:val="auto"/>
          <w:highlight w:val="none"/>
        </w:rPr>
      </w:pPr>
      <w:r>
        <w:rPr>
          <w:rFonts w:hint="eastAsia" w:ascii="仿宋" w:hAnsi="仿宋" w:eastAsia="仿宋" w:cs="仿宋"/>
          <w:b/>
          <w:bCs/>
          <w:color w:val="auto"/>
          <w:highlight w:val="none"/>
        </w:rPr>
        <w:t>单位：</w:t>
      </w:r>
      <w:r>
        <w:rPr>
          <w:rFonts w:hint="eastAsia" w:ascii="仿宋" w:hAnsi="仿宋" w:eastAsia="仿宋" w:cs="仿宋"/>
          <w:color w:val="auto"/>
          <w:highlight w:val="none"/>
        </w:rPr>
        <w:t>项</w:t>
      </w:r>
    </w:p>
    <w:p w14:paraId="6753E1C8">
      <w:pPr>
        <w:pStyle w:val="28"/>
        <w:widowControl/>
        <w:spacing w:before="0" w:beforeAutospacing="0" w:after="0" w:afterAutospacing="0" w:line="360" w:lineRule="auto"/>
        <w:ind w:firstLine="482" w:firstLineChars="200"/>
        <w:jc w:val="left"/>
        <w:rPr>
          <w:rFonts w:hint="eastAsia" w:ascii="仿宋" w:hAnsi="仿宋" w:eastAsia="仿宋" w:cs="仿宋"/>
          <w:b/>
          <w:bCs/>
          <w:color w:val="auto"/>
          <w:highlight w:val="none"/>
        </w:rPr>
      </w:pPr>
      <w:r>
        <w:rPr>
          <w:rFonts w:hint="eastAsia" w:ascii="仿宋" w:hAnsi="仿宋" w:eastAsia="仿宋" w:cs="仿宋"/>
          <w:b/>
          <w:bCs/>
          <w:color w:val="auto"/>
          <w:highlight w:val="none"/>
        </w:rPr>
        <w:t>项目概况</w:t>
      </w:r>
      <w:r>
        <w:rPr>
          <w:rFonts w:hint="eastAsia" w:ascii="仿宋" w:hAnsi="仿宋" w:eastAsia="仿宋" w:cs="仿宋"/>
          <w:b w:val="0"/>
          <w:bCs w:val="0"/>
          <w:color w:val="auto"/>
          <w:highlight w:val="none"/>
        </w:rPr>
        <w:t>：</w:t>
      </w:r>
      <w:r>
        <w:rPr>
          <w:rFonts w:hint="eastAsia" w:ascii="仿宋" w:hAnsi="仿宋" w:eastAsia="仿宋" w:cs="仿宋"/>
          <w:color w:val="auto"/>
          <w:highlight w:val="none"/>
          <w:lang w:eastAsia="zh-CN"/>
        </w:rPr>
        <w:t>浙江省湖州市中级人民法院</w:t>
      </w:r>
      <w:r>
        <w:rPr>
          <w:rFonts w:hint="eastAsia" w:ascii="仿宋" w:hAnsi="仿宋" w:eastAsia="仿宋" w:cs="仿宋"/>
          <w:b w:val="0"/>
          <w:bCs w:val="0"/>
          <w:color w:val="auto"/>
          <w:highlight w:val="none"/>
          <w:lang w:val="en-US" w:eastAsia="zh-CN"/>
        </w:rPr>
        <w:t>安保人员服务采购</w:t>
      </w:r>
    </w:p>
    <w:p w14:paraId="42C497DB">
      <w:pPr>
        <w:pStyle w:val="28"/>
        <w:widowControl/>
        <w:spacing w:before="0" w:beforeAutospacing="0" w:after="0" w:afterAutospacing="0" w:line="360" w:lineRule="auto"/>
        <w:ind w:firstLine="482" w:firstLineChars="200"/>
        <w:jc w:val="left"/>
        <w:rPr>
          <w:rFonts w:hint="eastAsia" w:ascii="仿宋" w:hAnsi="仿宋" w:eastAsia="仿宋" w:cs="仿宋"/>
          <w:b/>
          <w:bCs/>
          <w:color w:val="auto"/>
          <w:highlight w:val="none"/>
        </w:rPr>
      </w:pPr>
      <w:r>
        <w:rPr>
          <w:rFonts w:hint="eastAsia" w:ascii="仿宋" w:hAnsi="仿宋" w:eastAsia="仿宋" w:cs="仿宋"/>
          <w:b/>
          <w:bCs/>
          <w:color w:val="auto"/>
          <w:highlight w:val="none"/>
        </w:rPr>
        <w:t>备注：</w:t>
      </w:r>
    </w:p>
    <w:p w14:paraId="212412D6">
      <w:pPr>
        <w:pStyle w:val="28"/>
        <w:widowControl/>
        <w:spacing w:before="0" w:beforeAutospacing="0" w:after="0" w:afterAutospacing="0" w:line="360" w:lineRule="auto"/>
        <w:ind w:firstLine="482" w:firstLineChars="200"/>
        <w:jc w:val="left"/>
        <w:rPr>
          <w:rFonts w:hint="eastAsia" w:ascii="仿宋" w:hAnsi="仿宋" w:eastAsia="仿宋" w:cs="仿宋"/>
          <w:color w:val="auto"/>
          <w:highlight w:val="none"/>
          <w:lang w:val="en-US" w:eastAsia="zh-CN"/>
        </w:rPr>
      </w:pPr>
      <w:r>
        <w:rPr>
          <w:rFonts w:hint="eastAsia" w:ascii="仿宋" w:hAnsi="仿宋" w:eastAsia="仿宋" w:cs="仿宋"/>
          <w:b/>
          <w:bCs/>
          <w:color w:val="auto"/>
          <w:highlight w:val="none"/>
        </w:rPr>
        <w:t>合同履约期限：</w:t>
      </w:r>
      <w:r>
        <w:rPr>
          <w:rFonts w:hint="eastAsia" w:ascii="仿宋" w:hAnsi="仿宋" w:eastAsia="仿宋" w:cs="仿宋"/>
          <w:b w:val="0"/>
          <w:bCs w:val="0"/>
          <w:color w:val="auto"/>
          <w:highlight w:val="none"/>
          <w:lang w:val="en-US" w:eastAsia="zh-CN"/>
        </w:rPr>
        <w:t>自合同签订起1年</w:t>
      </w:r>
    </w:p>
    <w:p w14:paraId="38E7F78E">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本项目（否）接受联合体投标。</w:t>
      </w:r>
    </w:p>
    <w:p w14:paraId="0F14C50A">
      <w:pPr>
        <w:pStyle w:val="28"/>
        <w:widowControl/>
        <w:spacing w:before="0" w:beforeAutospacing="0" w:after="0" w:afterAutospacing="0" w:line="360" w:lineRule="auto"/>
        <w:rPr>
          <w:rFonts w:hint="eastAsia" w:ascii="仿宋" w:hAnsi="仿宋" w:eastAsia="仿宋" w:cs="仿宋"/>
          <w:color w:val="auto"/>
          <w:highlight w:val="none"/>
        </w:rPr>
      </w:pPr>
      <w:r>
        <w:rPr>
          <w:rStyle w:val="36"/>
          <w:rFonts w:hint="eastAsia" w:ascii="仿宋" w:hAnsi="仿宋" w:eastAsia="仿宋" w:cs="仿宋"/>
          <w:color w:val="auto"/>
          <w:highlight w:val="none"/>
        </w:rPr>
        <w:t>二、申请人的资格要求：</w:t>
      </w:r>
    </w:p>
    <w:p w14:paraId="78BE1274">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1.满足《中华人民共和国政府采购法》第二十二条规定；未被“信用中国”（www.creditchina.gov.cn)、中国政府采购网（www.ccgp.gov.cn）列入失信被执行人、重大税收违法失信主体、政府采购严重违法失信行为记录名单。</w:t>
      </w:r>
    </w:p>
    <w:p w14:paraId="208CA493">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2.落实政府采购政策需满足的资格要求：</w:t>
      </w:r>
      <w:r>
        <w:rPr>
          <w:rFonts w:hint="eastAsia" w:ascii="仿宋" w:hAnsi="仿宋" w:eastAsia="仿宋" w:cs="仿宋"/>
          <w:color w:val="auto"/>
          <w:sz w:val="24"/>
          <w:highlight w:val="none"/>
        </w:rPr>
        <w:t>本项目专门面向中小企业采购, 供应商需符合《政府采购促进中小企业发展管理办法》（财库【2020】46号）和提供本采购文件规定的《中小企业声明函》(监狱企业参加</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提供《监狱企业声明函》及其相关的证明材料、残疾人福利性单位参加</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提供《残疾人福利性单位声明函》，视为小型、微型企业，享受小微企业政策扶持)。</w:t>
      </w:r>
    </w:p>
    <w:p w14:paraId="69948CF7">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3.本项目的特定资格要求：经省公安厅核准</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具有保安服务许可证的企业</w:t>
      </w:r>
      <w:r>
        <w:rPr>
          <w:rFonts w:hint="eastAsia" w:ascii="仿宋" w:hAnsi="仿宋" w:eastAsia="仿宋" w:cs="仿宋"/>
          <w:color w:val="auto"/>
          <w:highlight w:val="none"/>
          <w:lang w:val="en-US" w:eastAsia="zh-CN"/>
        </w:rPr>
        <w:t>。</w:t>
      </w:r>
    </w:p>
    <w:p w14:paraId="55FFBCC1">
      <w:pPr>
        <w:pStyle w:val="28"/>
        <w:widowControl/>
        <w:spacing w:before="0" w:beforeAutospacing="0" w:after="0" w:afterAutospacing="0" w:line="360" w:lineRule="auto"/>
        <w:rPr>
          <w:rFonts w:hint="eastAsia" w:ascii="仿宋" w:hAnsi="仿宋" w:eastAsia="仿宋" w:cs="仿宋"/>
          <w:color w:val="auto"/>
          <w:highlight w:val="none"/>
        </w:rPr>
      </w:pPr>
      <w:r>
        <w:rPr>
          <w:rStyle w:val="36"/>
          <w:rFonts w:hint="eastAsia" w:ascii="仿宋" w:hAnsi="仿宋" w:eastAsia="仿宋" w:cs="仿宋"/>
          <w:color w:val="auto"/>
          <w:highlight w:val="none"/>
        </w:rPr>
        <w:t>三、获取（下载）采购文件</w:t>
      </w:r>
    </w:p>
    <w:p w14:paraId="2CAFD6B0">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时间：/至202</w:t>
      </w:r>
      <w:r>
        <w:rPr>
          <w:rFonts w:hint="eastAsia" w:ascii="仿宋" w:hAnsi="仿宋" w:eastAsia="仿宋" w:cs="仿宋"/>
          <w:color w:val="auto"/>
          <w:highlight w:val="none"/>
          <w:lang w:val="en-US" w:eastAsia="zh-CN"/>
        </w:rPr>
        <w:t>4</w:t>
      </w:r>
      <w:r>
        <w:rPr>
          <w:rFonts w:hint="eastAsia" w:ascii="仿宋" w:hAnsi="仿宋" w:eastAsia="仿宋" w:cs="仿宋"/>
          <w:color w:val="auto"/>
          <w:highlight w:val="none"/>
        </w:rPr>
        <w:t>年0</w:t>
      </w:r>
      <w:r>
        <w:rPr>
          <w:rFonts w:hint="eastAsia" w:ascii="仿宋" w:hAnsi="仿宋" w:eastAsia="仿宋" w:cs="仿宋"/>
          <w:color w:val="auto"/>
          <w:highlight w:val="none"/>
          <w:lang w:val="en-US" w:eastAsia="zh-CN"/>
        </w:rPr>
        <w:t>8</w:t>
      </w:r>
      <w:r>
        <w:rPr>
          <w:rFonts w:hint="eastAsia" w:ascii="仿宋" w:hAnsi="仿宋" w:eastAsia="仿宋" w:cs="仿宋"/>
          <w:color w:val="auto"/>
          <w:highlight w:val="none"/>
        </w:rPr>
        <w:t>月</w:t>
      </w:r>
      <w:r>
        <w:rPr>
          <w:rFonts w:hint="eastAsia" w:ascii="仿宋" w:hAnsi="仿宋" w:eastAsia="仿宋" w:cs="仿宋"/>
          <w:color w:val="auto"/>
          <w:highlight w:val="none"/>
          <w:lang w:val="en-US" w:eastAsia="zh-CN"/>
        </w:rPr>
        <w:t>13</w:t>
      </w:r>
      <w:r>
        <w:rPr>
          <w:rFonts w:hint="eastAsia" w:ascii="仿宋" w:hAnsi="仿宋" w:eastAsia="仿宋" w:cs="仿宋"/>
          <w:color w:val="auto"/>
          <w:highlight w:val="none"/>
        </w:rPr>
        <w:t>日</w:t>
      </w:r>
      <w:r>
        <w:rPr>
          <w:rFonts w:hint="eastAsia" w:ascii="仿宋" w:hAnsi="仿宋" w:eastAsia="仿宋" w:cs="仿宋"/>
          <w:color w:val="auto"/>
          <w:highlight w:val="none"/>
          <w:lang w:val="en-US" w:eastAsia="zh-CN"/>
        </w:rPr>
        <w:t>14</w:t>
      </w:r>
      <w:r>
        <w:rPr>
          <w:rFonts w:hint="eastAsia" w:ascii="仿宋" w:hAnsi="仿宋" w:eastAsia="仿宋" w:cs="仿宋"/>
          <w:color w:val="auto"/>
          <w:highlight w:val="none"/>
        </w:rPr>
        <w:t>:00 （北京时间，线上获取法定节假日均可，线下获取文件法定节假日除外）</w:t>
      </w:r>
    </w:p>
    <w:p w14:paraId="3034DD7D">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地点（网址）：政采云平台https://www.zcygov.cn/</w:t>
      </w:r>
    </w:p>
    <w:p w14:paraId="699ACEC4">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方式：供应商登录政采云平台https://www.zcygov.cn/在线申请获取采购文件（进入“项目采购”应用，在获取采购文件菜单中选择项目，申请获取采购文件）</w:t>
      </w:r>
    </w:p>
    <w:p w14:paraId="264C6237">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售价（元）：0</w:t>
      </w:r>
    </w:p>
    <w:p w14:paraId="54456129">
      <w:pPr>
        <w:pStyle w:val="28"/>
        <w:widowControl/>
        <w:spacing w:before="0" w:beforeAutospacing="0" w:after="0" w:afterAutospacing="0" w:line="360" w:lineRule="auto"/>
        <w:rPr>
          <w:rFonts w:hint="eastAsia" w:ascii="仿宋" w:hAnsi="仿宋" w:eastAsia="仿宋" w:cs="仿宋"/>
          <w:color w:val="auto"/>
          <w:highlight w:val="none"/>
        </w:rPr>
      </w:pPr>
      <w:r>
        <w:rPr>
          <w:rStyle w:val="36"/>
          <w:rFonts w:hint="eastAsia" w:ascii="仿宋" w:hAnsi="仿宋" w:eastAsia="仿宋" w:cs="仿宋"/>
          <w:color w:val="auto"/>
          <w:highlight w:val="none"/>
        </w:rPr>
        <w:t>四、响应文件提交（上传）</w:t>
      </w:r>
    </w:p>
    <w:p w14:paraId="13838713">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截止时间：202</w:t>
      </w:r>
      <w:r>
        <w:rPr>
          <w:rFonts w:hint="eastAsia" w:ascii="仿宋" w:hAnsi="仿宋" w:eastAsia="仿宋" w:cs="仿宋"/>
          <w:color w:val="auto"/>
          <w:highlight w:val="none"/>
          <w:lang w:val="en-US" w:eastAsia="zh-CN"/>
        </w:rPr>
        <w:t>4</w:t>
      </w:r>
      <w:r>
        <w:rPr>
          <w:rFonts w:hint="eastAsia" w:ascii="仿宋" w:hAnsi="仿宋" w:eastAsia="仿宋" w:cs="仿宋"/>
          <w:color w:val="auto"/>
          <w:highlight w:val="none"/>
        </w:rPr>
        <w:t>年0</w:t>
      </w:r>
      <w:r>
        <w:rPr>
          <w:rFonts w:hint="eastAsia" w:ascii="仿宋" w:hAnsi="仿宋" w:eastAsia="仿宋" w:cs="仿宋"/>
          <w:color w:val="auto"/>
          <w:highlight w:val="none"/>
          <w:lang w:val="en-US" w:eastAsia="zh-CN"/>
        </w:rPr>
        <w:t>8</w:t>
      </w:r>
      <w:r>
        <w:rPr>
          <w:rFonts w:hint="eastAsia" w:ascii="仿宋" w:hAnsi="仿宋" w:eastAsia="仿宋" w:cs="仿宋"/>
          <w:color w:val="auto"/>
          <w:highlight w:val="none"/>
        </w:rPr>
        <w:t>月</w:t>
      </w:r>
      <w:r>
        <w:rPr>
          <w:rFonts w:hint="eastAsia" w:ascii="仿宋" w:hAnsi="仿宋" w:eastAsia="仿宋" w:cs="仿宋"/>
          <w:color w:val="auto"/>
          <w:highlight w:val="none"/>
          <w:lang w:val="en-US" w:eastAsia="zh-CN"/>
        </w:rPr>
        <w:t>13</w:t>
      </w:r>
      <w:r>
        <w:rPr>
          <w:rFonts w:hint="eastAsia" w:ascii="仿宋" w:hAnsi="仿宋" w:eastAsia="仿宋" w:cs="仿宋"/>
          <w:color w:val="auto"/>
          <w:highlight w:val="none"/>
        </w:rPr>
        <w:t>日</w:t>
      </w:r>
      <w:r>
        <w:rPr>
          <w:rFonts w:hint="eastAsia" w:ascii="仿宋" w:hAnsi="仿宋" w:eastAsia="仿宋" w:cs="仿宋"/>
          <w:color w:val="auto"/>
          <w:highlight w:val="none"/>
          <w:lang w:val="en-US" w:eastAsia="zh-CN"/>
        </w:rPr>
        <w:t>14</w:t>
      </w:r>
      <w:r>
        <w:rPr>
          <w:rFonts w:hint="eastAsia" w:ascii="仿宋" w:hAnsi="仿宋" w:eastAsia="仿宋" w:cs="仿宋"/>
          <w:color w:val="auto"/>
          <w:highlight w:val="none"/>
        </w:rPr>
        <w:t>:00 （北京时间）</w:t>
      </w:r>
    </w:p>
    <w:p w14:paraId="1E0C765B">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地点（网址）：通过“政采云平台”上传递交的“电子加密响应文件”</w:t>
      </w:r>
    </w:p>
    <w:p w14:paraId="60A15676">
      <w:pPr>
        <w:pStyle w:val="28"/>
        <w:widowControl/>
        <w:spacing w:before="0" w:beforeAutospacing="0" w:after="0" w:afterAutospacing="0" w:line="360" w:lineRule="auto"/>
        <w:rPr>
          <w:rFonts w:hint="eastAsia" w:ascii="仿宋" w:hAnsi="仿宋" w:eastAsia="仿宋" w:cs="仿宋"/>
          <w:color w:val="auto"/>
          <w:highlight w:val="none"/>
        </w:rPr>
      </w:pPr>
      <w:r>
        <w:rPr>
          <w:rStyle w:val="36"/>
          <w:rFonts w:hint="eastAsia" w:ascii="仿宋" w:hAnsi="仿宋" w:eastAsia="仿宋" w:cs="仿宋"/>
          <w:color w:val="auto"/>
          <w:highlight w:val="none"/>
        </w:rPr>
        <w:t>五、响应文件开启</w:t>
      </w:r>
    </w:p>
    <w:p w14:paraId="2CC85E46">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开启时间：202</w:t>
      </w:r>
      <w:r>
        <w:rPr>
          <w:rFonts w:hint="eastAsia" w:ascii="仿宋" w:hAnsi="仿宋" w:eastAsia="仿宋" w:cs="仿宋"/>
          <w:color w:val="auto"/>
          <w:highlight w:val="none"/>
          <w:lang w:val="en-US" w:eastAsia="zh-CN"/>
        </w:rPr>
        <w:t>4</w:t>
      </w:r>
      <w:r>
        <w:rPr>
          <w:rFonts w:hint="eastAsia" w:ascii="仿宋" w:hAnsi="仿宋" w:eastAsia="仿宋" w:cs="仿宋"/>
          <w:color w:val="auto"/>
          <w:highlight w:val="none"/>
        </w:rPr>
        <w:t>年0</w:t>
      </w:r>
      <w:r>
        <w:rPr>
          <w:rFonts w:hint="eastAsia" w:ascii="仿宋" w:hAnsi="仿宋" w:eastAsia="仿宋" w:cs="仿宋"/>
          <w:color w:val="auto"/>
          <w:highlight w:val="none"/>
          <w:lang w:val="en-US" w:eastAsia="zh-CN"/>
        </w:rPr>
        <w:t>8</w:t>
      </w:r>
      <w:r>
        <w:rPr>
          <w:rFonts w:hint="eastAsia" w:ascii="仿宋" w:hAnsi="仿宋" w:eastAsia="仿宋" w:cs="仿宋"/>
          <w:color w:val="auto"/>
          <w:highlight w:val="none"/>
        </w:rPr>
        <w:t>月</w:t>
      </w:r>
      <w:r>
        <w:rPr>
          <w:rFonts w:hint="eastAsia" w:ascii="仿宋" w:hAnsi="仿宋" w:eastAsia="仿宋" w:cs="仿宋"/>
          <w:color w:val="auto"/>
          <w:highlight w:val="none"/>
          <w:lang w:val="en-US" w:eastAsia="zh-CN"/>
        </w:rPr>
        <w:t>13</w:t>
      </w:r>
      <w:r>
        <w:rPr>
          <w:rFonts w:hint="eastAsia" w:ascii="仿宋" w:hAnsi="仿宋" w:eastAsia="仿宋" w:cs="仿宋"/>
          <w:color w:val="auto"/>
          <w:highlight w:val="none"/>
        </w:rPr>
        <w:t>日</w:t>
      </w:r>
      <w:r>
        <w:rPr>
          <w:rFonts w:hint="eastAsia" w:ascii="仿宋" w:hAnsi="仿宋" w:eastAsia="仿宋" w:cs="仿宋"/>
          <w:color w:val="auto"/>
          <w:highlight w:val="none"/>
          <w:lang w:val="en-US" w:eastAsia="zh-CN"/>
        </w:rPr>
        <w:t>14</w:t>
      </w:r>
      <w:r>
        <w:rPr>
          <w:rFonts w:hint="eastAsia" w:ascii="仿宋" w:hAnsi="仿宋" w:eastAsia="仿宋" w:cs="仿宋"/>
          <w:color w:val="auto"/>
          <w:highlight w:val="none"/>
        </w:rPr>
        <w:t>:00 （北京时间）</w:t>
      </w:r>
    </w:p>
    <w:p w14:paraId="5F7DA744">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地点（网址）：湖州市公共资源交易中心开标室（湖州市仁皇山片区金盖山路66号2号楼，届时详见二楼休息区电子显示屏）</w:t>
      </w:r>
    </w:p>
    <w:p w14:paraId="61A7397C">
      <w:pPr>
        <w:pStyle w:val="28"/>
        <w:widowControl/>
        <w:spacing w:before="0" w:beforeAutospacing="0" w:after="0" w:afterAutospacing="0" w:line="360" w:lineRule="auto"/>
        <w:rPr>
          <w:rFonts w:hint="eastAsia" w:ascii="仿宋" w:hAnsi="仿宋" w:eastAsia="仿宋" w:cs="仿宋"/>
          <w:color w:val="auto"/>
          <w:highlight w:val="none"/>
        </w:rPr>
      </w:pPr>
      <w:r>
        <w:rPr>
          <w:rStyle w:val="36"/>
          <w:rFonts w:hint="eastAsia" w:ascii="仿宋" w:hAnsi="仿宋" w:eastAsia="仿宋" w:cs="仿宋"/>
          <w:color w:val="auto"/>
          <w:highlight w:val="none"/>
        </w:rPr>
        <w:t>六、公告期限</w:t>
      </w:r>
    </w:p>
    <w:p w14:paraId="749C635B">
      <w:pPr>
        <w:pStyle w:val="28"/>
        <w:widowControl/>
        <w:spacing w:before="0" w:beforeAutospacing="0" w:after="0" w:afterAutospacing="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自本公告发布之日起3个工作日。</w:t>
      </w:r>
    </w:p>
    <w:p w14:paraId="0301126C">
      <w:pPr>
        <w:pStyle w:val="28"/>
        <w:widowControl/>
        <w:spacing w:before="0" w:beforeAutospacing="0" w:after="0" w:afterAutospacing="0" w:line="360" w:lineRule="auto"/>
        <w:rPr>
          <w:rFonts w:hint="eastAsia" w:ascii="仿宋" w:hAnsi="仿宋" w:eastAsia="仿宋" w:cs="仿宋"/>
          <w:color w:val="auto"/>
          <w:highlight w:val="none"/>
        </w:rPr>
      </w:pPr>
      <w:r>
        <w:rPr>
          <w:rStyle w:val="36"/>
          <w:rFonts w:hint="eastAsia" w:ascii="仿宋" w:hAnsi="仿宋" w:eastAsia="仿宋" w:cs="仿宋"/>
          <w:color w:val="auto"/>
          <w:highlight w:val="none"/>
        </w:rPr>
        <w:t>七、其他补充事宜</w:t>
      </w:r>
    </w:p>
    <w:p w14:paraId="5EAE9444">
      <w:pPr>
        <w:pStyle w:val="28"/>
        <w:widowControl/>
        <w:numPr>
          <w:ilvl w:val="0"/>
          <w:numId w:val="1"/>
        </w:numPr>
        <w:spacing w:before="0" w:beforeAutospacing="0" w:after="0" w:afterAutospacing="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供应商认为采购文件使自己的权益受到损害的，可以自获取采购文件之日或者采购文件公告期限届满之日（公告期限届满后获取采购文件的，以公告期限届满之日为准）起7个工作日内，</w:t>
      </w:r>
      <w:r>
        <w:rPr>
          <w:rFonts w:hint="eastAsia" w:ascii="仿宋" w:hAnsi="仿宋" w:eastAsia="仿宋" w:cs="仿宋"/>
          <w:color w:val="auto"/>
          <w:highlight w:val="none"/>
          <w:shd w:val="clear" w:color="auto" w:fill="FFFFFF"/>
        </w:rPr>
        <w:t>对采购文件需求的以书面形式向采购人提出质疑，对其他内容的以书面形式向采购人和采购代理机构提出质疑。</w:t>
      </w:r>
      <w:r>
        <w:rPr>
          <w:rFonts w:hint="eastAsia" w:ascii="仿宋" w:hAnsi="仿宋" w:eastAsia="仿宋" w:cs="仿宋"/>
          <w:color w:val="auto"/>
          <w:highlight w:val="none"/>
        </w:rPr>
        <w:t>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2500824E">
      <w:pPr>
        <w:pStyle w:val="28"/>
        <w:widowControl/>
        <w:numPr>
          <w:ilvl w:val="0"/>
          <w:numId w:val="1"/>
        </w:numPr>
        <w:spacing w:before="0" w:beforeAutospacing="0" w:after="0" w:afterAutospacing="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其他事项：</w:t>
      </w:r>
    </w:p>
    <w:p w14:paraId="1A216A32">
      <w:pPr>
        <w:pStyle w:val="28"/>
        <w:widowControl/>
        <w:numPr>
          <w:ilvl w:val="0"/>
          <w:numId w:val="2"/>
        </w:numPr>
        <w:spacing w:before="0" w:beforeAutospacing="0" w:after="0" w:afterAutospacing="0" w:line="360" w:lineRule="auto"/>
        <w:ind w:left="210" w:leftChars="100"/>
        <w:rPr>
          <w:rFonts w:hint="eastAsia" w:ascii="仿宋" w:hAnsi="仿宋" w:eastAsia="仿宋" w:cs="仿宋"/>
          <w:color w:val="auto"/>
          <w:highlight w:val="none"/>
        </w:rPr>
      </w:pPr>
      <w:r>
        <w:rPr>
          <w:rFonts w:hint="eastAsia" w:ascii="仿宋" w:hAnsi="仿宋" w:eastAsia="仿宋" w:cs="仿宋"/>
          <w:color w:val="auto"/>
          <w:highlight w:val="none"/>
        </w:rPr>
        <w:t>本项目为电子招投标项目，实行网上招投标，应按照本磋商文件及政采云平台的要求编制、加密并要求供应商通过政采云系统在线投标响应，磋商截止时间前须完成电子响应文件的上传，同时供应商须随身携带制作在线投标响应文件时所用的CA锁，供应商在使用系统进行投标的过程中遇到涉及平台使用的任何问题，可致电政采云平台技术支持热线咨询，联系方式：</w:t>
      </w:r>
      <w:r>
        <w:rPr>
          <w:rFonts w:hint="eastAsia" w:ascii="仿宋" w:hAnsi="仿宋" w:eastAsia="仿宋" w:cs="仿宋"/>
          <w:color w:val="auto"/>
          <w:highlight w:val="none"/>
          <w:lang w:val="en-US" w:eastAsia="zh-CN"/>
        </w:rPr>
        <w:t>95763</w:t>
      </w:r>
      <w:r>
        <w:rPr>
          <w:rFonts w:hint="eastAsia" w:ascii="仿宋" w:hAnsi="仿宋" w:eastAsia="仿宋" w:cs="仿宋"/>
          <w:color w:val="auto"/>
          <w:highlight w:val="none"/>
        </w:rPr>
        <w:t>。其中数据电子备份响应文件（U盘）在磋商截止时间前于开标现场以密封、包装的形式提供。</w:t>
      </w:r>
    </w:p>
    <w:p w14:paraId="4456B67E">
      <w:pPr>
        <w:pStyle w:val="28"/>
        <w:widowControl/>
        <w:numPr>
          <w:ilvl w:val="0"/>
          <w:numId w:val="2"/>
        </w:numPr>
        <w:spacing w:before="0" w:beforeAutospacing="0" w:after="0" w:afterAutospacing="0" w:line="360" w:lineRule="auto"/>
        <w:ind w:left="210" w:leftChars="100"/>
        <w:rPr>
          <w:rFonts w:hint="eastAsia" w:ascii="仿宋" w:hAnsi="仿宋" w:eastAsia="仿宋" w:cs="仿宋"/>
          <w:color w:val="auto"/>
          <w:highlight w:val="none"/>
        </w:rPr>
      </w:pPr>
      <w:r>
        <w:rPr>
          <w:rFonts w:hint="eastAsia" w:ascii="仿宋" w:hAnsi="仿宋" w:eastAsia="仿宋" w:cs="仿宋"/>
          <w:color w:val="auto"/>
          <w:highlight w:val="none"/>
        </w:rPr>
        <w:t>潜在供应商已依法获取（依法获取指：供应商按本项目招标公告要求在政采云系统上获取并报名成功）其可质疑的磋商文件的，可以对该文件提出质疑。未按照规定方式依法获取磋商文件的，不得对磋商文件提起质疑投诉。</w:t>
      </w:r>
    </w:p>
    <w:p w14:paraId="0354A4E6">
      <w:pPr>
        <w:pStyle w:val="28"/>
        <w:widowControl/>
        <w:numPr>
          <w:ilvl w:val="0"/>
          <w:numId w:val="2"/>
        </w:numPr>
        <w:spacing w:before="0" w:beforeAutospacing="0" w:after="0" w:afterAutospacing="0" w:line="360" w:lineRule="auto"/>
        <w:ind w:left="210" w:leftChars="100"/>
        <w:rPr>
          <w:rFonts w:hint="eastAsia" w:ascii="仿宋" w:hAnsi="仿宋" w:eastAsia="仿宋" w:cs="仿宋"/>
          <w:color w:val="auto"/>
          <w:highlight w:val="none"/>
        </w:rPr>
      </w:pPr>
      <w:r>
        <w:rPr>
          <w:rFonts w:hint="eastAsia" w:ascii="仿宋" w:hAnsi="仿宋" w:eastAsia="仿宋" w:cs="仿宋"/>
          <w:color w:val="auto"/>
          <w:highlight w:val="none"/>
        </w:rPr>
        <w:t>供应商对磋商文件有异议的，供应商须在法定质疑期内一次性提出针对同一采购程序环节的质疑。应当以书面（含传真）形式向采购代理机构一次性提出，采购人将在规定的时间内统一进行澄清和修改，并书面（含传真）通知所有认购磋商文件的供应商。供应商未按规定要求提出的，则视同认可磋商文件，但法律法规及规范性文件有明确规定的除外。</w:t>
      </w:r>
    </w:p>
    <w:p w14:paraId="523ED419">
      <w:pPr>
        <w:pStyle w:val="28"/>
        <w:widowControl/>
        <w:numPr>
          <w:ilvl w:val="0"/>
          <w:numId w:val="2"/>
        </w:numPr>
        <w:spacing w:before="0" w:beforeAutospacing="0" w:after="0" w:afterAutospacing="0" w:line="360" w:lineRule="auto"/>
        <w:ind w:left="210" w:leftChars="100"/>
        <w:rPr>
          <w:rFonts w:hint="eastAsia" w:ascii="仿宋" w:hAnsi="仿宋" w:eastAsia="仿宋" w:cs="仿宋"/>
          <w:color w:val="auto"/>
          <w:highlight w:val="none"/>
        </w:rPr>
      </w:pPr>
      <w:r>
        <w:rPr>
          <w:rFonts w:hint="eastAsia" w:ascii="仿宋" w:hAnsi="仿宋" w:eastAsia="仿宋" w:cs="仿宋"/>
          <w:color w:val="auto"/>
          <w:highlight w:val="none"/>
        </w:rPr>
        <w:t>答疑内容是磋商文件的组成部分，并将在网上发布补充（答疑、澄清）文件，潜在供应商应自行关注网站公告，采购人不再一一通知，供应商因自身贻误行为导致投标失效的，责任自负。</w:t>
      </w:r>
    </w:p>
    <w:p w14:paraId="5C143463">
      <w:pPr>
        <w:pStyle w:val="28"/>
        <w:widowControl/>
        <w:numPr>
          <w:ilvl w:val="0"/>
          <w:numId w:val="2"/>
        </w:numPr>
        <w:spacing w:before="0" w:beforeAutospacing="0" w:after="0" w:afterAutospacing="0" w:line="360" w:lineRule="auto"/>
        <w:ind w:left="210" w:leftChars="100"/>
        <w:rPr>
          <w:rFonts w:hint="eastAsia" w:ascii="仿宋" w:hAnsi="仿宋" w:eastAsia="仿宋" w:cs="仿宋"/>
          <w:color w:val="auto"/>
          <w:highlight w:val="none"/>
        </w:rPr>
      </w:pPr>
      <w:r>
        <w:rPr>
          <w:rFonts w:hint="eastAsia" w:ascii="仿宋" w:hAnsi="仿宋" w:eastAsia="仿宋" w:cs="仿宋"/>
          <w:color w:val="auto"/>
          <w:highlight w:val="none"/>
        </w:rPr>
        <w:t>参与政府采购项目的注册供应商，需登录浙江政府采购云平台（http://www.zcygov.cn）进行网上报名，尚未注册的供应商应当先在浙江政府采购云平台上申请注册，注册终审通过后再进行网上报名。</w:t>
      </w:r>
    </w:p>
    <w:p w14:paraId="4E9C1D5B">
      <w:pPr>
        <w:pStyle w:val="28"/>
        <w:widowControl/>
        <w:numPr>
          <w:ilvl w:val="0"/>
          <w:numId w:val="2"/>
        </w:numPr>
        <w:spacing w:before="0" w:beforeAutospacing="0" w:after="0" w:afterAutospacing="0" w:line="360" w:lineRule="auto"/>
        <w:ind w:left="210" w:leftChars="100"/>
        <w:rPr>
          <w:rFonts w:hint="eastAsia" w:ascii="仿宋" w:hAnsi="仿宋" w:eastAsia="仿宋" w:cs="仿宋"/>
          <w:color w:val="auto"/>
          <w:highlight w:val="none"/>
        </w:rPr>
      </w:pPr>
      <w:r>
        <w:rPr>
          <w:rFonts w:hint="eastAsia" w:ascii="仿宋" w:hAnsi="仿宋" w:eastAsia="仿宋" w:cs="仿宋"/>
          <w:color w:val="auto"/>
          <w:highlight w:val="none"/>
        </w:rPr>
        <w:t>为有效破解当前中小微企业面临的“融资难、融资贵”困局，充分发挥好政府采购扶持小微企业发展的政策功能，本项目中标供应商可凭中标（成交）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w:t>
      </w:r>
    </w:p>
    <w:p w14:paraId="3460A435">
      <w:pPr>
        <w:pStyle w:val="28"/>
        <w:widowControl/>
        <w:numPr>
          <w:ilvl w:val="0"/>
          <w:numId w:val="2"/>
        </w:numPr>
        <w:spacing w:before="0" w:beforeAutospacing="0" w:after="0" w:afterAutospacing="0" w:line="360" w:lineRule="auto"/>
        <w:ind w:left="210" w:leftChars="100"/>
        <w:rPr>
          <w:rFonts w:hint="eastAsia" w:ascii="仿宋" w:hAnsi="仿宋" w:eastAsia="仿宋" w:cs="仿宋"/>
          <w:color w:val="auto"/>
          <w:highlight w:val="none"/>
        </w:rPr>
      </w:pPr>
      <w:r>
        <w:rPr>
          <w:rFonts w:hint="eastAsia" w:ascii="仿宋" w:hAnsi="仿宋" w:eastAsia="仿宋" w:cs="仿宋"/>
          <w:b/>
          <w:bCs/>
          <w:color w:val="auto"/>
          <w:highlight w:val="none"/>
        </w:rPr>
        <w:t>本项目是否专门面向中小企业采购：是</w:t>
      </w:r>
    </w:p>
    <w:p w14:paraId="7062DCC1">
      <w:pPr>
        <w:pStyle w:val="28"/>
        <w:widowControl/>
        <w:numPr>
          <w:ilvl w:val="0"/>
          <w:numId w:val="2"/>
        </w:numPr>
        <w:spacing w:before="0" w:beforeAutospacing="0" w:after="0" w:afterAutospacing="0" w:line="360" w:lineRule="auto"/>
        <w:ind w:left="210" w:leftChars="100"/>
        <w:rPr>
          <w:rFonts w:hint="eastAsia" w:ascii="仿宋" w:hAnsi="仿宋" w:eastAsia="仿宋" w:cs="仿宋"/>
          <w:color w:val="auto"/>
          <w:highlight w:val="none"/>
        </w:rPr>
      </w:pPr>
      <w:r>
        <w:rPr>
          <w:rFonts w:hint="eastAsia" w:ascii="仿宋" w:hAnsi="仿宋" w:eastAsia="仿宋" w:cs="仿宋"/>
          <w:color w:val="auto"/>
          <w:highlight w:val="none"/>
        </w:rPr>
        <w:t>本次磋商有关信息刊登在：</w:t>
      </w:r>
    </w:p>
    <w:p w14:paraId="6B42CDE0">
      <w:pPr>
        <w:pStyle w:val="28"/>
        <w:widowControl/>
        <w:spacing w:before="0" w:beforeAutospacing="0" w:after="0" w:afterAutospacing="0" w:line="360" w:lineRule="auto"/>
        <w:ind w:left="210" w:leftChars="100"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8.1浙江政府采购网：http://zfcg.czt.zj.gov.cn/</w:t>
      </w:r>
    </w:p>
    <w:p w14:paraId="35FA4560">
      <w:pPr>
        <w:pStyle w:val="28"/>
        <w:widowControl/>
        <w:spacing w:before="0" w:beforeAutospacing="0" w:after="0" w:afterAutospacing="0" w:line="360" w:lineRule="auto"/>
        <w:ind w:left="210" w:leftChars="100"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8.2湖州市公共资源交易信息网：</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"http://ggzyjy.huzhou.gov.cn/HZfront/-" </w:instrText>
      </w:r>
      <w:r>
        <w:rPr>
          <w:rFonts w:hint="eastAsia" w:ascii="仿宋" w:hAnsi="仿宋" w:eastAsia="仿宋" w:cs="仿宋"/>
          <w:color w:val="auto"/>
          <w:highlight w:val="none"/>
        </w:rPr>
        <w:fldChar w:fldCharType="separate"/>
      </w:r>
      <w:r>
        <w:rPr>
          <w:rStyle w:val="38"/>
          <w:rFonts w:hint="eastAsia" w:ascii="仿宋" w:hAnsi="仿宋" w:eastAsia="仿宋" w:cs="仿宋"/>
          <w:color w:val="auto"/>
          <w:highlight w:val="none"/>
          <w:u w:val="none"/>
        </w:rPr>
        <w:t>http://ggzyjy.huzhou.gov.cn/-“政府采购”-“采购招标公告”模块。</w:t>
      </w:r>
      <w:r>
        <w:rPr>
          <w:rStyle w:val="38"/>
          <w:rFonts w:hint="eastAsia" w:ascii="仿宋" w:hAnsi="仿宋" w:eastAsia="仿宋" w:cs="仿宋"/>
          <w:color w:val="auto"/>
          <w:highlight w:val="none"/>
          <w:u w:val="none"/>
        </w:rPr>
        <w:fldChar w:fldCharType="end"/>
      </w:r>
    </w:p>
    <w:p w14:paraId="3F1A4A44">
      <w:pPr>
        <w:pStyle w:val="28"/>
        <w:widowControl/>
        <w:spacing w:before="0" w:beforeAutospacing="0" w:after="0" w:afterAutospacing="0" w:line="360" w:lineRule="auto"/>
        <w:rPr>
          <w:rFonts w:hint="eastAsia" w:ascii="仿宋" w:hAnsi="仿宋" w:eastAsia="仿宋" w:cs="仿宋"/>
          <w:color w:val="auto"/>
          <w:highlight w:val="none"/>
        </w:rPr>
      </w:pPr>
      <w:r>
        <w:rPr>
          <w:rStyle w:val="36"/>
          <w:rFonts w:hint="eastAsia" w:ascii="仿宋" w:hAnsi="仿宋" w:eastAsia="仿宋" w:cs="仿宋"/>
          <w:color w:val="auto"/>
          <w:highlight w:val="none"/>
        </w:rPr>
        <w:t>八、凡对本次招标提出询问、质疑、投诉，请按以下方式联系</w:t>
      </w:r>
    </w:p>
    <w:p w14:paraId="56033ED3">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1.采购人信息</w:t>
      </w:r>
    </w:p>
    <w:p w14:paraId="6A76E2CF">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lang w:eastAsia="zh-CN"/>
        </w:rPr>
      </w:pPr>
      <w:r>
        <w:rPr>
          <w:rFonts w:hint="eastAsia" w:ascii="仿宋" w:hAnsi="仿宋" w:eastAsia="仿宋" w:cs="仿宋"/>
          <w:color w:val="auto"/>
          <w:highlight w:val="none"/>
        </w:rPr>
        <w:t>名称：</w:t>
      </w:r>
      <w:r>
        <w:rPr>
          <w:rFonts w:hint="eastAsia" w:ascii="仿宋" w:hAnsi="仿宋" w:eastAsia="仿宋" w:cs="仿宋"/>
          <w:color w:val="auto"/>
          <w:highlight w:val="none"/>
          <w:lang w:eastAsia="zh-CN"/>
        </w:rPr>
        <w:t>浙江省湖州市中级人民法院</w:t>
      </w:r>
    </w:p>
    <w:p w14:paraId="2B039D29">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地址：</w:t>
      </w:r>
      <w:r>
        <w:rPr>
          <w:rFonts w:hint="eastAsia" w:ascii="仿宋" w:hAnsi="仿宋" w:eastAsia="仿宋" w:cs="仿宋"/>
          <w:color w:val="auto"/>
          <w:highlight w:val="none"/>
          <w:lang w:eastAsia="zh-CN"/>
        </w:rPr>
        <w:t>湖州市仁皇山路300号</w:t>
      </w:r>
    </w:p>
    <w:p w14:paraId="610A80AE">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传真：</w:t>
      </w:r>
      <w:r>
        <w:rPr>
          <w:rFonts w:hint="eastAsia" w:ascii="仿宋" w:hAnsi="仿宋" w:eastAsia="仿宋" w:cs="仿宋"/>
          <w:color w:val="auto"/>
          <w:highlight w:val="none"/>
          <w:lang w:val="en-US" w:eastAsia="zh-CN"/>
        </w:rPr>
        <w:t>0572-3565000</w:t>
      </w:r>
    </w:p>
    <w:p w14:paraId="640D953B">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项目联系人（询问）：</w:t>
      </w:r>
      <w:r>
        <w:rPr>
          <w:rFonts w:hint="eastAsia" w:ascii="仿宋" w:hAnsi="仿宋" w:eastAsia="仿宋" w:cs="仿宋"/>
          <w:color w:val="auto"/>
          <w:highlight w:val="none"/>
          <w:lang w:eastAsia="zh-CN"/>
        </w:rPr>
        <w:t>陆女士</w:t>
      </w:r>
      <w:r>
        <w:rPr>
          <w:rFonts w:hint="eastAsia" w:ascii="仿宋" w:hAnsi="仿宋" w:eastAsia="仿宋" w:cs="仿宋"/>
          <w:color w:val="auto"/>
          <w:highlight w:val="none"/>
          <w:lang w:val="en-US" w:eastAsia="zh-CN"/>
        </w:rPr>
        <w:t xml:space="preserve"> </w:t>
      </w:r>
    </w:p>
    <w:p w14:paraId="0548E2D9">
      <w:pPr>
        <w:pStyle w:val="28"/>
        <w:widowControl/>
        <w:spacing w:before="0" w:beforeAutospacing="0" w:after="0" w:afterAutospacing="0" w:line="360" w:lineRule="auto"/>
        <w:ind w:left="479" w:leftChars="228" w:firstLine="0" w:firstLineChars="0"/>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项目联系方式（询问）：</w:t>
      </w:r>
      <w:r>
        <w:rPr>
          <w:rFonts w:hint="eastAsia" w:ascii="仿宋" w:hAnsi="仿宋" w:eastAsia="仿宋" w:cs="仿宋"/>
          <w:color w:val="auto"/>
          <w:highlight w:val="none"/>
          <w:lang w:val="en-US" w:eastAsia="zh-CN"/>
        </w:rPr>
        <w:t xml:space="preserve">0572-3565186                                             </w:t>
      </w:r>
      <w:r>
        <w:rPr>
          <w:rFonts w:hint="eastAsia" w:ascii="仿宋" w:hAnsi="仿宋" w:eastAsia="仿宋" w:cs="仿宋"/>
          <w:color w:val="auto"/>
          <w:highlight w:val="none"/>
        </w:rPr>
        <w:t>质疑联系人：</w:t>
      </w:r>
      <w:r>
        <w:rPr>
          <w:rFonts w:hint="eastAsia" w:ascii="仿宋" w:hAnsi="仿宋" w:eastAsia="仿宋" w:cs="仿宋"/>
          <w:color w:val="auto"/>
          <w:highlight w:val="none"/>
          <w:lang w:val="en-US" w:eastAsia="zh-CN"/>
        </w:rPr>
        <w:t xml:space="preserve">沈先生     </w:t>
      </w:r>
    </w:p>
    <w:p w14:paraId="458C3926">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质疑联系方式：</w:t>
      </w:r>
      <w:r>
        <w:rPr>
          <w:rFonts w:hint="eastAsia" w:ascii="仿宋" w:hAnsi="仿宋" w:eastAsia="仿宋" w:cs="仿宋"/>
          <w:color w:val="auto"/>
          <w:highlight w:val="none"/>
          <w:lang w:val="en-US" w:eastAsia="zh-CN"/>
        </w:rPr>
        <w:t xml:space="preserve">0572-3565186        </w:t>
      </w:r>
      <w:r>
        <w:rPr>
          <w:rFonts w:hint="eastAsia" w:ascii="仿宋" w:hAnsi="仿宋" w:eastAsia="仿宋" w:cs="仿宋"/>
          <w:color w:val="auto"/>
          <w:highlight w:val="none"/>
        </w:rPr>
        <w:t xml:space="preserve">    </w:t>
      </w:r>
    </w:p>
    <w:p w14:paraId="1E4EC0F8">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p>
    <w:p w14:paraId="1805C575">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2.采购代理机构信息</w:t>
      </w:r>
    </w:p>
    <w:p w14:paraId="64A1EFF0">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名称：浙江新诚信工程咨询有限公司</w:t>
      </w:r>
    </w:p>
    <w:p w14:paraId="5242E2C3">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地址：湖州市吴兴区太湖路1155号中新商务大厦1402</w:t>
      </w:r>
    </w:p>
    <w:p w14:paraId="5BA5CAD6">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传真：0572-2051833</w:t>
      </w:r>
    </w:p>
    <w:p w14:paraId="45DE47D0">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lang w:eastAsia="zh-CN"/>
        </w:rPr>
      </w:pPr>
      <w:r>
        <w:rPr>
          <w:rFonts w:hint="eastAsia" w:ascii="仿宋" w:hAnsi="仿宋" w:eastAsia="仿宋" w:cs="仿宋"/>
          <w:color w:val="auto"/>
          <w:highlight w:val="none"/>
        </w:rPr>
        <w:t>项目联系人（询问）：</w:t>
      </w:r>
      <w:r>
        <w:rPr>
          <w:rFonts w:hint="eastAsia" w:ascii="仿宋" w:hAnsi="仿宋" w:eastAsia="仿宋" w:cs="仿宋"/>
          <w:color w:val="auto"/>
          <w:highlight w:val="none"/>
          <w:lang w:val="en-US" w:eastAsia="zh-CN"/>
        </w:rPr>
        <w:t>郭婷</w:t>
      </w:r>
    </w:p>
    <w:p w14:paraId="4E913EE8">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项目联系方式（询问）：187</w:t>
      </w:r>
      <w:r>
        <w:rPr>
          <w:rFonts w:hint="eastAsia" w:ascii="仿宋" w:hAnsi="仿宋" w:eastAsia="仿宋" w:cs="仿宋"/>
          <w:color w:val="auto"/>
          <w:highlight w:val="none"/>
          <w:lang w:val="en-US" w:eastAsia="zh-CN"/>
        </w:rPr>
        <w:t>68247439</w:t>
      </w:r>
    </w:p>
    <w:p w14:paraId="1339F016">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lang w:eastAsia="zh-CN"/>
        </w:rPr>
      </w:pPr>
      <w:r>
        <w:rPr>
          <w:rFonts w:hint="eastAsia" w:ascii="仿宋" w:hAnsi="仿宋" w:eastAsia="仿宋" w:cs="仿宋"/>
          <w:color w:val="auto"/>
          <w:highlight w:val="none"/>
        </w:rPr>
        <w:t>质疑联系人：赵</w:t>
      </w:r>
      <w:r>
        <w:rPr>
          <w:rFonts w:hint="eastAsia" w:ascii="仿宋" w:hAnsi="仿宋" w:eastAsia="仿宋" w:cs="仿宋"/>
          <w:color w:val="auto"/>
          <w:highlight w:val="none"/>
          <w:lang w:val="en-US" w:eastAsia="zh-CN"/>
        </w:rPr>
        <w:t>女士</w:t>
      </w:r>
    </w:p>
    <w:p w14:paraId="25A42045">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质疑联系方式：0572-2051833</w:t>
      </w:r>
    </w:p>
    <w:p w14:paraId="7389446E">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p>
    <w:p w14:paraId="13349163">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3.同级政府采购监督管理部门</w:t>
      </w:r>
    </w:p>
    <w:p w14:paraId="7164263B">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名称：湖州市财政局政府采购监管处</w:t>
      </w:r>
    </w:p>
    <w:p w14:paraId="5548AED9">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地址：</w:t>
      </w:r>
      <w:r>
        <w:rPr>
          <w:rFonts w:hint="eastAsia" w:ascii="仿宋" w:hAnsi="仿宋" w:eastAsia="仿宋" w:cs="仿宋"/>
          <w:color w:val="auto"/>
          <w:sz w:val="24"/>
          <w:highlight w:val="none"/>
        </w:rPr>
        <w:t>湖州市龙王山路518号</w:t>
      </w:r>
    </w:p>
    <w:p w14:paraId="4158ED4E">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传真：/</w:t>
      </w:r>
    </w:p>
    <w:p w14:paraId="6CAED62E">
      <w:pPr>
        <w:pStyle w:val="28"/>
        <w:widowControl/>
        <w:spacing w:before="0" w:beforeAutospacing="0" w:after="0" w:afterAutospacing="0" w:line="360" w:lineRule="auto"/>
        <w:ind w:firstLine="480" w:firstLineChars="200"/>
        <w:jc w:val="left"/>
        <w:rPr>
          <w:rFonts w:hint="default" w:ascii="仿宋" w:hAnsi="仿宋" w:eastAsia="仿宋" w:cs="仿宋"/>
          <w:color w:val="auto"/>
          <w:highlight w:val="none"/>
          <w:lang w:val="en-US" w:eastAsia="zh-CN"/>
        </w:rPr>
      </w:pPr>
      <w:r>
        <w:rPr>
          <w:rFonts w:hint="eastAsia" w:ascii="仿宋" w:hAnsi="仿宋" w:eastAsia="仿宋" w:cs="仿宋"/>
          <w:color w:val="auto"/>
          <w:highlight w:val="none"/>
        </w:rPr>
        <w:t>联系人：</w:t>
      </w:r>
      <w:r>
        <w:rPr>
          <w:rFonts w:hint="eastAsia" w:ascii="仿宋" w:hAnsi="仿宋" w:eastAsia="仿宋" w:cs="仿宋"/>
          <w:color w:val="auto"/>
          <w:highlight w:val="none"/>
          <w:lang w:val="en-US" w:eastAsia="zh-CN"/>
        </w:rPr>
        <w:t>程先生</w:t>
      </w:r>
    </w:p>
    <w:p w14:paraId="20AA56BF">
      <w:pPr>
        <w:pStyle w:val="28"/>
        <w:widowControl/>
        <w:spacing w:before="0" w:beforeAutospacing="0" w:after="0" w:afterAutospacing="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监督投诉电话：0572-2150216</w:t>
      </w:r>
    </w:p>
    <w:p w14:paraId="3F367089">
      <w:pPr>
        <w:pStyle w:val="28"/>
        <w:widowControl/>
        <w:spacing w:before="0" w:beforeAutospacing="0" w:after="0" w:afterAutospacing="0"/>
        <w:jc w:val="left"/>
        <w:rPr>
          <w:rFonts w:hint="eastAsia" w:ascii="仿宋" w:hAnsi="仿宋" w:eastAsia="仿宋" w:cs="仿宋"/>
          <w:b/>
          <w:bCs/>
          <w:color w:val="auto"/>
          <w:highlight w:val="none"/>
        </w:rPr>
      </w:pPr>
      <w:r>
        <w:rPr>
          <w:rFonts w:hint="eastAsia" w:ascii="仿宋" w:hAnsi="仿宋" w:eastAsia="仿宋" w:cs="仿宋"/>
          <w:b/>
          <w:bCs/>
          <w:color w:val="auto"/>
          <w:highlight w:val="none"/>
        </w:rPr>
        <w:t>若对项目采购电子交易系统操作有疑问，可登录政采云（https://www.zcygov.cn/），点击右侧咨询小采，获取采小蜜智能服务管家帮助，或拨打政采云服务热线</w:t>
      </w:r>
      <w:r>
        <w:rPr>
          <w:rFonts w:hint="eastAsia" w:ascii="仿宋" w:hAnsi="仿宋" w:eastAsia="仿宋" w:cs="仿宋"/>
          <w:b/>
          <w:bCs/>
          <w:color w:val="auto"/>
          <w:highlight w:val="none"/>
          <w:lang w:val="en-US" w:eastAsia="zh-CN"/>
        </w:rPr>
        <w:t>95763</w:t>
      </w:r>
      <w:r>
        <w:rPr>
          <w:rFonts w:hint="eastAsia" w:ascii="仿宋" w:hAnsi="仿宋" w:eastAsia="仿宋" w:cs="仿宋"/>
          <w:b/>
          <w:bCs/>
          <w:color w:val="auto"/>
          <w:highlight w:val="none"/>
        </w:rPr>
        <w:t>获取热线服务帮助。</w:t>
      </w:r>
    </w:p>
    <w:p w14:paraId="0D416E29">
      <w:pPr>
        <w:pStyle w:val="28"/>
        <w:widowControl/>
        <w:spacing w:before="0" w:beforeAutospacing="0" w:after="0" w:afterAutospacing="0"/>
        <w:jc w:val="left"/>
        <w:rPr>
          <w:rFonts w:hint="eastAsia" w:ascii="仿宋" w:hAnsi="仿宋" w:eastAsia="仿宋" w:cs="仿宋"/>
          <w:b/>
          <w:bCs/>
          <w:color w:val="auto"/>
          <w:highlight w:val="none"/>
        </w:rPr>
      </w:pPr>
      <w:r>
        <w:rPr>
          <w:rFonts w:hint="eastAsia" w:ascii="仿宋" w:hAnsi="仿宋" w:eastAsia="仿宋" w:cs="仿宋"/>
          <w:b/>
          <w:bCs/>
          <w:color w:val="auto"/>
          <w:highlight w:val="none"/>
        </w:rPr>
        <w:t>CA问题联系电话（人工）：汇信CA 400-888-4636；天谷CA 400-087-8198。</w:t>
      </w:r>
    </w:p>
    <w:p w14:paraId="55C700D5">
      <w:pPr>
        <w:spacing w:before="0" w:after="0" w:line="480" w:lineRule="auto"/>
        <w:jc w:val="center"/>
        <w:outlineLvl w:val="1"/>
        <w:rPr>
          <w:rFonts w:hint="eastAsia" w:ascii="仿宋" w:hAnsi="仿宋" w:eastAsia="仿宋" w:cs="仿宋"/>
          <w:color w:val="auto"/>
          <w:sz w:val="32"/>
          <w:szCs w:val="32"/>
          <w:highlight w:val="none"/>
        </w:rPr>
      </w:pPr>
      <w:bookmarkStart w:id="13" w:name="_Toc20657"/>
      <w:r>
        <w:rPr>
          <w:rStyle w:val="42"/>
          <w:rFonts w:hint="eastAsia" w:ascii="仿宋" w:hAnsi="仿宋" w:eastAsia="仿宋" w:cs="仿宋"/>
          <w:color w:val="auto"/>
          <w:highlight w:val="none"/>
        </w:rPr>
        <w:br w:type="page"/>
      </w:r>
      <w:bookmarkStart w:id="14" w:name="_Toc19173"/>
      <w:bookmarkStart w:id="15" w:name="_Toc5171"/>
      <w:r>
        <w:rPr>
          <w:rStyle w:val="42"/>
          <w:rFonts w:hint="eastAsia" w:ascii="仿宋" w:hAnsi="仿宋" w:eastAsia="仿宋" w:cs="仿宋"/>
          <w:b/>
          <w:bCs/>
          <w:color w:val="auto"/>
          <w:highlight w:val="none"/>
          <w:lang w:val="en-US" w:eastAsia="zh-CN"/>
        </w:rPr>
        <w:t xml:space="preserve">              </w:t>
      </w:r>
      <w:r>
        <w:rPr>
          <w:rStyle w:val="42"/>
          <w:rFonts w:hint="eastAsia" w:ascii="仿宋" w:hAnsi="仿宋" w:eastAsia="仿宋" w:cs="仿宋"/>
          <w:b/>
          <w:bCs/>
          <w:color w:val="auto"/>
          <w:highlight w:val="none"/>
        </w:rPr>
        <w:t>第二章  供应商须知</w:t>
      </w:r>
      <w:bookmarkEnd w:id="13"/>
      <w:bookmarkEnd w:id="14"/>
      <w:bookmarkEnd w:id="15"/>
    </w:p>
    <w:p w14:paraId="3B98CC76">
      <w:pPr>
        <w:spacing w:line="500" w:lineRule="exact"/>
        <w:jc w:val="center"/>
        <w:rPr>
          <w:rFonts w:hint="eastAsia" w:ascii="仿宋" w:hAnsi="仿宋" w:eastAsia="仿宋" w:cs="仿宋"/>
          <w:b/>
          <w:bCs/>
          <w:color w:val="auto"/>
          <w:sz w:val="30"/>
          <w:szCs w:val="30"/>
          <w:highlight w:val="none"/>
        </w:rPr>
      </w:pPr>
      <w:bookmarkStart w:id="16" w:name="_Toc32234"/>
      <w:bookmarkStart w:id="17" w:name="_Toc30213"/>
      <w:r>
        <w:rPr>
          <w:rFonts w:hint="eastAsia" w:ascii="仿宋" w:hAnsi="仿宋" w:eastAsia="仿宋" w:cs="仿宋"/>
          <w:b/>
          <w:bCs/>
          <w:color w:val="auto"/>
          <w:sz w:val="30"/>
          <w:szCs w:val="30"/>
          <w:highlight w:val="none"/>
        </w:rPr>
        <w:t>前 附 表</w:t>
      </w:r>
      <w:bookmarkEnd w:id="16"/>
      <w:bookmarkEnd w:id="17"/>
    </w:p>
    <w:tbl>
      <w:tblPr>
        <w:tblStyle w:val="33"/>
        <w:tblW w:w="10065" w:type="dxa"/>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751"/>
        <w:gridCol w:w="2787"/>
        <w:gridCol w:w="6527"/>
      </w:tblGrid>
      <w:tr w14:paraId="49D62FE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751" w:type="dxa"/>
            <w:tcBorders>
              <w:tl2br w:val="nil"/>
              <w:tr2bl w:val="nil"/>
            </w:tcBorders>
            <w:vAlign w:val="center"/>
          </w:tcPr>
          <w:p w14:paraId="569C0A7D">
            <w:pPr>
              <w:spacing w:line="440" w:lineRule="exact"/>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2787" w:type="dxa"/>
            <w:tcBorders>
              <w:tl2br w:val="nil"/>
              <w:tr2bl w:val="nil"/>
            </w:tcBorders>
            <w:vAlign w:val="center"/>
          </w:tcPr>
          <w:p w14:paraId="4A8F7107">
            <w:pPr>
              <w:spacing w:line="440" w:lineRule="exact"/>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项  目</w:t>
            </w:r>
          </w:p>
        </w:tc>
        <w:tc>
          <w:tcPr>
            <w:tcW w:w="6527" w:type="dxa"/>
            <w:tcBorders>
              <w:tl2br w:val="nil"/>
              <w:tr2bl w:val="nil"/>
            </w:tcBorders>
            <w:vAlign w:val="center"/>
          </w:tcPr>
          <w:p w14:paraId="6C580E36">
            <w:pPr>
              <w:spacing w:line="440" w:lineRule="exact"/>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内容与要求</w:t>
            </w:r>
          </w:p>
        </w:tc>
      </w:tr>
      <w:tr w14:paraId="33DA8EF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751" w:type="dxa"/>
            <w:tcBorders>
              <w:tl2br w:val="nil"/>
              <w:tr2bl w:val="nil"/>
            </w:tcBorders>
            <w:vAlign w:val="center"/>
          </w:tcPr>
          <w:p w14:paraId="69676CEF">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2787" w:type="dxa"/>
            <w:tcBorders>
              <w:tl2br w:val="nil"/>
              <w:tr2bl w:val="nil"/>
            </w:tcBorders>
            <w:vAlign w:val="center"/>
          </w:tcPr>
          <w:p w14:paraId="2FA20F71">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项目名称</w:t>
            </w:r>
          </w:p>
        </w:tc>
        <w:tc>
          <w:tcPr>
            <w:tcW w:w="6527" w:type="dxa"/>
            <w:tcBorders>
              <w:tl2br w:val="nil"/>
              <w:tr2bl w:val="nil"/>
            </w:tcBorders>
            <w:vAlign w:val="center"/>
          </w:tcPr>
          <w:p w14:paraId="1A2C641D">
            <w:pPr>
              <w:spacing w:line="440" w:lineRule="exact"/>
              <w:rPr>
                <w:rFonts w:hint="eastAsia" w:ascii="仿宋" w:hAnsi="仿宋" w:eastAsia="仿宋" w:cs="仿宋"/>
                <w:bCs/>
                <w:color w:val="auto"/>
                <w:spacing w:val="-4"/>
                <w:sz w:val="24"/>
                <w:highlight w:val="none"/>
              </w:rPr>
            </w:pPr>
            <w:r>
              <w:rPr>
                <w:rFonts w:hint="eastAsia" w:ascii="仿宋" w:hAnsi="仿宋" w:eastAsia="仿宋" w:cs="仿宋"/>
                <w:color w:val="auto"/>
                <w:kern w:val="0"/>
                <w:sz w:val="24"/>
                <w:highlight w:val="none"/>
                <w:lang w:eastAsia="zh-CN"/>
              </w:rPr>
              <w:t>浙江省湖州市中级人民法院安保服务采购项目</w:t>
            </w:r>
            <w:r>
              <w:rPr>
                <w:rFonts w:hint="eastAsia" w:ascii="仿宋" w:hAnsi="仿宋" w:eastAsia="仿宋" w:cs="仿宋"/>
                <w:color w:val="auto"/>
                <w:kern w:val="0"/>
                <w:sz w:val="24"/>
                <w:highlight w:val="none"/>
              </w:rPr>
              <w:t xml:space="preserve"> </w:t>
            </w:r>
          </w:p>
        </w:tc>
      </w:tr>
      <w:tr w14:paraId="7C2A510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1" w:type="dxa"/>
            <w:tcBorders>
              <w:tl2br w:val="nil"/>
              <w:tr2bl w:val="nil"/>
            </w:tcBorders>
            <w:vAlign w:val="center"/>
          </w:tcPr>
          <w:p w14:paraId="419428EE">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2787" w:type="dxa"/>
            <w:tcBorders>
              <w:tl2br w:val="nil"/>
              <w:tr2bl w:val="nil"/>
            </w:tcBorders>
            <w:vAlign w:val="center"/>
          </w:tcPr>
          <w:p w14:paraId="00A85494">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pacing w:val="-4"/>
                <w:sz w:val="24"/>
                <w:highlight w:val="none"/>
              </w:rPr>
              <w:t>磋商文件编号</w:t>
            </w:r>
          </w:p>
        </w:tc>
        <w:tc>
          <w:tcPr>
            <w:tcW w:w="6527" w:type="dxa"/>
            <w:tcBorders>
              <w:tl2br w:val="nil"/>
              <w:tr2bl w:val="nil"/>
            </w:tcBorders>
            <w:vAlign w:val="center"/>
          </w:tcPr>
          <w:p w14:paraId="27E0654A">
            <w:pPr>
              <w:spacing w:line="440" w:lineRule="exac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XCXHZ-202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-0</w:t>
            </w:r>
            <w:r>
              <w:rPr>
                <w:rFonts w:hint="eastAsia" w:ascii="仿宋" w:hAnsi="仿宋" w:eastAsia="仿宋" w:cs="仿宋"/>
                <w:color w:val="auto"/>
                <w:sz w:val="24"/>
                <w:highlight w:val="none"/>
                <w:lang w:val="en-US" w:eastAsia="zh-CN"/>
              </w:rPr>
              <w:t>39</w:t>
            </w:r>
            <w:r>
              <w:rPr>
                <w:rFonts w:hint="eastAsia" w:ascii="仿宋" w:hAnsi="仿宋" w:eastAsia="仿宋" w:cs="仿宋"/>
                <w:color w:val="auto"/>
                <w:sz w:val="24"/>
                <w:highlight w:val="none"/>
                <w:lang w:eastAsia="zh-CN"/>
              </w:rPr>
              <w:t>（CG）</w:t>
            </w:r>
          </w:p>
        </w:tc>
      </w:tr>
      <w:tr w14:paraId="77DB4DA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751" w:type="dxa"/>
            <w:tcBorders>
              <w:tl2br w:val="nil"/>
              <w:tr2bl w:val="nil"/>
            </w:tcBorders>
            <w:vAlign w:val="center"/>
          </w:tcPr>
          <w:p w14:paraId="46C2E1B2">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2787" w:type="dxa"/>
            <w:tcBorders>
              <w:tl2br w:val="nil"/>
              <w:tr2bl w:val="nil"/>
            </w:tcBorders>
            <w:vAlign w:val="center"/>
          </w:tcPr>
          <w:p w14:paraId="502E49CE">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磋商代理费</w:t>
            </w:r>
          </w:p>
        </w:tc>
        <w:tc>
          <w:tcPr>
            <w:tcW w:w="6527" w:type="dxa"/>
            <w:tcBorders>
              <w:tl2br w:val="nil"/>
              <w:tr2bl w:val="nil"/>
            </w:tcBorders>
            <w:vAlign w:val="center"/>
          </w:tcPr>
          <w:p w14:paraId="50218731">
            <w:pPr>
              <w:spacing w:line="32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磋商报价及费用：</w:t>
            </w:r>
          </w:p>
          <w:p w14:paraId="1527C0FC">
            <w:pPr>
              <w:spacing w:line="32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1.本项目投标应以人民币报价；</w:t>
            </w:r>
          </w:p>
          <w:p w14:paraId="46D4AE9C">
            <w:pPr>
              <w:spacing w:line="32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2.不论磋商结果如何，供应商均应自行承担所有与投标有关的全部费用；</w:t>
            </w:r>
          </w:p>
          <w:p w14:paraId="1F36F1B6">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代理服务费</w:t>
            </w:r>
            <w:r>
              <w:rPr>
                <w:rFonts w:hint="eastAsia" w:ascii="仿宋" w:hAnsi="仿宋" w:eastAsia="仿宋" w:cs="仿宋"/>
                <w:color w:val="auto"/>
                <w:sz w:val="24"/>
                <w:highlight w:val="none"/>
                <w:u w:val="single"/>
                <w:lang w:val="en-US" w:eastAsia="zh-CN"/>
              </w:rPr>
              <w:t>18600</w:t>
            </w:r>
            <w:r>
              <w:rPr>
                <w:rFonts w:hint="eastAsia" w:ascii="仿宋" w:hAnsi="仿宋" w:eastAsia="仿宋" w:cs="仿宋"/>
                <w:color w:val="auto"/>
                <w:sz w:val="24"/>
                <w:highlight w:val="none"/>
              </w:rPr>
              <w:t>元由</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单位支付。在领取成交通知书前一次性支付给采购代理机构，该费用请供应商自行考虑计入</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报价中。</w:t>
            </w:r>
          </w:p>
        </w:tc>
      </w:tr>
      <w:tr w14:paraId="526DF50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751" w:type="dxa"/>
            <w:tcBorders>
              <w:tl2br w:val="nil"/>
              <w:tr2bl w:val="nil"/>
            </w:tcBorders>
            <w:vAlign w:val="center"/>
          </w:tcPr>
          <w:p w14:paraId="39A6FC22">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2787" w:type="dxa"/>
            <w:tcBorders>
              <w:tl2br w:val="nil"/>
              <w:tr2bl w:val="nil"/>
            </w:tcBorders>
            <w:vAlign w:val="center"/>
          </w:tcPr>
          <w:p w14:paraId="2DE5184D">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磋商代理费交纳方式</w:t>
            </w:r>
          </w:p>
        </w:tc>
        <w:tc>
          <w:tcPr>
            <w:tcW w:w="6527" w:type="dxa"/>
            <w:tcBorders>
              <w:tl2br w:val="nil"/>
              <w:tr2bl w:val="nil"/>
            </w:tcBorders>
            <w:vAlign w:val="center"/>
          </w:tcPr>
          <w:p w14:paraId="053CEF6F">
            <w:pPr>
              <w:spacing w:line="440" w:lineRule="exac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可以是汇款或转账形式；</w:t>
            </w:r>
          </w:p>
          <w:p w14:paraId="370EA003">
            <w:pPr>
              <w:spacing w:line="440" w:lineRule="exac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收款人名称：浙江新诚信工程咨询有限公司湖州分公司；</w:t>
            </w:r>
          </w:p>
          <w:p w14:paraId="04F326F9">
            <w:pPr>
              <w:spacing w:line="440" w:lineRule="exac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开户银行：湖州银行股份有限公司南园支行；</w:t>
            </w:r>
          </w:p>
          <w:p w14:paraId="4D57A98E">
            <w:pPr>
              <w:spacing w:line="440" w:lineRule="exac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银行账号：800028090000155                                 </w:t>
            </w:r>
          </w:p>
        </w:tc>
      </w:tr>
      <w:tr w14:paraId="4BE9473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51" w:type="dxa"/>
            <w:tcBorders>
              <w:tl2br w:val="nil"/>
              <w:tr2bl w:val="nil"/>
            </w:tcBorders>
            <w:vAlign w:val="center"/>
          </w:tcPr>
          <w:p w14:paraId="6A88FCCD">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2787" w:type="dxa"/>
            <w:tcBorders>
              <w:tl2br w:val="nil"/>
              <w:tr2bl w:val="nil"/>
            </w:tcBorders>
            <w:vAlign w:val="center"/>
          </w:tcPr>
          <w:p w14:paraId="734E7F96">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项目实施地点</w:t>
            </w:r>
          </w:p>
        </w:tc>
        <w:tc>
          <w:tcPr>
            <w:tcW w:w="6527" w:type="dxa"/>
            <w:tcBorders>
              <w:tl2br w:val="nil"/>
              <w:tr2bl w:val="nil"/>
            </w:tcBorders>
            <w:vAlign w:val="center"/>
          </w:tcPr>
          <w:p w14:paraId="08303966">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采购人指定地点。</w:t>
            </w:r>
          </w:p>
        </w:tc>
      </w:tr>
      <w:tr w14:paraId="434C699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751" w:type="dxa"/>
            <w:tcBorders>
              <w:tl2br w:val="nil"/>
              <w:tr2bl w:val="nil"/>
            </w:tcBorders>
            <w:vAlign w:val="center"/>
          </w:tcPr>
          <w:p w14:paraId="7FB4B6C0">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p>
        </w:tc>
        <w:tc>
          <w:tcPr>
            <w:tcW w:w="2787" w:type="dxa"/>
            <w:tcBorders>
              <w:tl2br w:val="nil"/>
              <w:tr2bl w:val="nil"/>
            </w:tcBorders>
            <w:vAlign w:val="center"/>
          </w:tcPr>
          <w:p w14:paraId="6ED154E1">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服务期</w:t>
            </w:r>
          </w:p>
        </w:tc>
        <w:tc>
          <w:tcPr>
            <w:tcW w:w="6527" w:type="dxa"/>
            <w:tcBorders>
              <w:tl2br w:val="nil"/>
              <w:tr2bl w:val="nil"/>
            </w:tcBorders>
            <w:vAlign w:val="center"/>
          </w:tcPr>
          <w:p w14:paraId="12E124F1">
            <w:pPr>
              <w:spacing w:line="440" w:lineRule="exact"/>
              <w:ind w:firstLine="0" w:firstLineChars="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自合同签订起1年</w:t>
            </w:r>
          </w:p>
        </w:tc>
      </w:tr>
      <w:tr w14:paraId="10E452E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1" w:type="dxa"/>
            <w:tcBorders>
              <w:tl2br w:val="nil"/>
              <w:tr2bl w:val="nil"/>
            </w:tcBorders>
            <w:vAlign w:val="center"/>
          </w:tcPr>
          <w:p w14:paraId="0727AE1F">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p>
        </w:tc>
        <w:tc>
          <w:tcPr>
            <w:tcW w:w="2787" w:type="dxa"/>
            <w:tcBorders>
              <w:tl2br w:val="nil"/>
              <w:tr2bl w:val="nil"/>
            </w:tcBorders>
            <w:vAlign w:val="center"/>
          </w:tcPr>
          <w:p w14:paraId="7298A832">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磋商答疑时间</w:t>
            </w:r>
          </w:p>
        </w:tc>
        <w:tc>
          <w:tcPr>
            <w:tcW w:w="6527" w:type="dxa"/>
            <w:tcBorders>
              <w:tl2br w:val="nil"/>
              <w:tr2bl w:val="nil"/>
            </w:tcBorders>
            <w:vAlign w:val="center"/>
          </w:tcPr>
          <w:p w14:paraId="36C23D8C">
            <w:pPr>
              <w:spacing w:line="440" w:lineRule="exac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供货商如认为招标文件表述不清晰、存在歧视性或者其他违法内容的，可以在知道或者应知其权益受到损害之日起7个工作日内以书面形式要求采购人作出书面解释、澄清或者向采购人提出书面质疑，根据《中华人民共和国财政部令第 94 号-政府采购质疑和投诉办法》第十条第二款规定，供应商在法定质疑期内须一次性提出针对同一采购程序环节的质疑，否则采购代理机构有权拒绝第一次质疑以外其他所有质疑。答疑内容是招标文件的组成部份，并将以书面形式送达所有已报名的供货商。</w:t>
            </w:r>
          </w:p>
        </w:tc>
      </w:tr>
      <w:tr w14:paraId="736E4E4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51" w:type="dxa"/>
            <w:tcBorders>
              <w:tl2br w:val="nil"/>
              <w:tr2bl w:val="nil"/>
            </w:tcBorders>
            <w:vAlign w:val="center"/>
          </w:tcPr>
          <w:p w14:paraId="772871D1">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p>
        </w:tc>
        <w:tc>
          <w:tcPr>
            <w:tcW w:w="2787" w:type="dxa"/>
            <w:tcBorders>
              <w:tl2br w:val="nil"/>
              <w:tr2bl w:val="nil"/>
            </w:tcBorders>
            <w:vAlign w:val="center"/>
          </w:tcPr>
          <w:p w14:paraId="0BAE94C2">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磋商响应文件组成</w:t>
            </w:r>
          </w:p>
        </w:tc>
        <w:tc>
          <w:tcPr>
            <w:tcW w:w="6527" w:type="dxa"/>
            <w:tcBorders>
              <w:tl2br w:val="nil"/>
              <w:tr2bl w:val="nil"/>
            </w:tcBorders>
            <w:vAlign w:val="center"/>
          </w:tcPr>
          <w:p w14:paraId="2B09E0E2">
            <w:pPr>
              <w:autoSpaceDE w:val="0"/>
              <w:autoSpaceDN w:val="0"/>
              <w:adjustRightInd w:val="0"/>
              <w:snapToGrid w:val="0"/>
              <w:spacing w:line="440" w:lineRule="exact"/>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响应文件组成：</w:t>
            </w:r>
          </w:p>
          <w:p w14:paraId="44147D4B">
            <w:pPr>
              <w:autoSpaceDE w:val="0"/>
              <w:autoSpaceDN w:val="0"/>
              <w:adjustRightInd w:val="0"/>
              <w:snapToGrid w:val="0"/>
              <w:spacing w:line="440" w:lineRule="exact"/>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1、电子响应文件（包括“电子加密响应文件”和“备份响应文件”，在响应文件编制完成后同时生成。）</w:t>
            </w:r>
          </w:p>
          <w:p w14:paraId="08DEA5E8">
            <w:pPr>
              <w:autoSpaceDE w:val="0"/>
              <w:autoSpaceDN w:val="0"/>
              <w:adjustRightInd w:val="0"/>
              <w:snapToGrid w:val="0"/>
              <w:spacing w:line="440" w:lineRule="exact"/>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2、“电子加密响应文件”是指通过“政采云电子交易客户端”完成响应文件编制后生成并加密的数据电文形式的响应文件。</w:t>
            </w:r>
          </w:p>
          <w:p w14:paraId="46B7975F">
            <w:pPr>
              <w:autoSpaceDE w:val="0"/>
              <w:autoSpaceDN w:val="0"/>
              <w:adjustRightInd w:val="0"/>
              <w:snapToGrid w:val="0"/>
              <w:spacing w:line="440" w:lineRule="exact"/>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3、“备份响应文件”是指与“电子加密响应文件”同时生成的数据电文形式的电子文件（备份标书），其他方式编制的备份响应文件视为无效备份响应文件。此文件仅在出现解密异常情况下使用。</w:t>
            </w:r>
          </w:p>
          <w:p w14:paraId="6C46DBE3">
            <w:pPr>
              <w:autoSpaceDE w:val="0"/>
              <w:autoSpaceDN w:val="0"/>
              <w:adjustRightInd w:val="0"/>
              <w:snapToGrid w:val="0"/>
              <w:spacing w:line="440" w:lineRule="exact"/>
              <w:textAlignment w:val="bottom"/>
              <w:rPr>
                <w:rFonts w:hint="eastAsia" w:ascii="仿宋" w:hAnsi="仿宋" w:eastAsia="仿宋" w:cs="仿宋"/>
                <w:color w:val="auto"/>
                <w:kern w:val="0"/>
                <w:sz w:val="24"/>
                <w:highlight w:val="none"/>
              </w:rPr>
            </w:pPr>
            <w:r>
              <w:rPr>
                <w:rFonts w:hint="eastAsia" w:ascii="仿宋" w:hAnsi="仿宋" w:eastAsia="仿宋" w:cs="仿宋"/>
                <w:bCs/>
                <w:color w:val="auto"/>
                <w:sz w:val="24"/>
                <w:highlight w:val="none"/>
              </w:rPr>
              <w:t>4、</w:t>
            </w:r>
            <w:r>
              <w:rPr>
                <w:rFonts w:hint="eastAsia" w:ascii="仿宋" w:hAnsi="仿宋" w:eastAsia="仿宋" w:cs="仿宋"/>
                <w:bCs/>
                <w:color w:val="auto"/>
                <w:sz w:val="24"/>
                <w:highlight w:val="none"/>
                <w:lang w:val="en-US" w:eastAsia="zh-CN"/>
              </w:rPr>
              <w:t>成交</w:t>
            </w:r>
            <w:r>
              <w:rPr>
                <w:rFonts w:hint="eastAsia" w:ascii="仿宋" w:hAnsi="仿宋" w:eastAsia="仿宋" w:cs="仿宋"/>
                <w:bCs/>
                <w:color w:val="auto"/>
                <w:sz w:val="24"/>
                <w:highlight w:val="none"/>
              </w:rPr>
              <w:t>后，</w:t>
            </w:r>
            <w:r>
              <w:rPr>
                <w:rFonts w:hint="eastAsia" w:ascii="仿宋" w:hAnsi="仿宋" w:eastAsia="仿宋" w:cs="仿宋"/>
                <w:bCs/>
                <w:color w:val="auto"/>
                <w:sz w:val="24"/>
                <w:highlight w:val="none"/>
                <w:lang w:val="en-US" w:eastAsia="zh-CN"/>
              </w:rPr>
              <w:t>成交</w:t>
            </w:r>
            <w:r>
              <w:rPr>
                <w:rFonts w:hint="eastAsia" w:ascii="仿宋" w:hAnsi="仿宋" w:eastAsia="仿宋" w:cs="仿宋"/>
                <w:bCs/>
                <w:color w:val="auto"/>
                <w:sz w:val="24"/>
                <w:highlight w:val="none"/>
              </w:rPr>
              <w:t>单位需在领取中标（成交）通知书时，向</w:t>
            </w:r>
            <w:r>
              <w:rPr>
                <w:rFonts w:hint="eastAsia" w:ascii="仿宋" w:hAnsi="仿宋" w:eastAsia="仿宋" w:cs="仿宋"/>
                <w:bCs/>
                <w:color w:val="auto"/>
                <w:sz w:val="24"/>
                <w:highlight w:val="none"/>
                <w:lang w:val="en-US" w:eastAsia="zh-CN"/>
              </w:rPr>
              <w:t>采购</w:t>
            </w:r>
            <w:r>
              <w:rPr>
                <w:rFonts w:hint="eastAsia" w:ascii="仿宋" w:hAnsi="仿宋" w:eastAsia="仿宋" w:cs="仿宋"/>
                <w:bCs/>
                <w:color w:val="auto"/>
                <w:sz w:val="24"/>
                <w:highlight w:val="none"/>
              </w:rPr>
              <w:t>代理机构提交与竞标时电子响应文件一致的纸质版本</w:t>
            </w:r>
            <w:r>
              <w:rPr>
                <w:rFonts w:hint="eastAsia" w:ascii="仿宋" w:hAnsi="仿宋" w:eastAsia="仿宋" w:cs="仿宋"/>
                <w:bCs/>
                <w:color w:val="auto"/>
                <w:sz w:val="24"/>
                <w:highlight w:val="none"/>
                <w:lang w:val="en-US" w:eastAsia="zh-CN"/>
              </w:rPr>
              <w:t>响应</w:t>
            </w:r>
            <w:r>
              <w:rPr>
                <w:rFonts w:hint="eastAsia" w:ascii="仿宋" w:hAnsi="仿宋" w:eastAsia="仿宋" w:cs="仿宋"/>
                <w:bCs/>
                <w:color w:val="auto"/>
                <w:sz w:val="24"/>
                <w:highlight w:val="none"/>
              </w:rPr>
              <w:t>文件一式三份（按照磋商文件要求签字盖章）。</w:t>
            </w:r>
          </w:p>
        </w:tc>
      </w:tr>
      <w:tr w14:paraId="76A2781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51" w:type="dxa"/>
            <w:tcBorders>
              <w:tl2br w:val="nil"/>
              <w:tr2bl w:val="nil"/>
            </w:tcBorders>
            <w:vAlign w:val="center"/>
          </w:tcPr>
          <w:p w14:paraId="49D2DC2F">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p>
        </w:tc>
        <w:tc>
          <w:tcPr>
            <w:tcW w:w="2787" w:type="dxa"/>
            <w:tcBorders>
              <w:tl2br w:val="nil"/>
              <w:tr2bl w:val="nil"/>
            </w:tcBorders>
            <w:vAlign w:val="center"/>
          </w:tcPr>
          <w:p w14:paraId="06B6E876">
            <w:pPr>
              <w:spacing w:line="44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促进中小企业发展</w:t>
            </w:r>
          </w:p>
          <w:p w14:paraId="754794D1">
            <w:pPr>
              <w:spacing w:line="440" w:lineRule="exact"/>
              <w:jc w:val="center"/>
              <w:rPr>
                <w:rFonts w:hint="eastAsia" w:ascii="仿宋" w:hAnsi="仿宋" w:eastAsia="仿宋" w:cs="仿宋"/>
                <w:bCs/>
                <w:color w:val="auto"/>
                <w:sz w:val="24"/>
                <w:highlight w:val="none"/>
              </w:rPr>
            </w:pPr>
            <w:r>
              <w:rPr>
                <w:rFonts w:hint="eastAsia" w:ascii="仿宋" w:hAnsi="仿宋" w:eastAsia="仿宋" w:cs="仿宋"/>
                <w:b/>
                <w:color w:val="auto"/>
                <w:sz w:val="24"/>
                <w:highlight w:val="none"/>
              </w:rPr>
              <w:t>落实情况</w:t>
            </w:r>
          </w:p>
        </w:tc>
        <w:tc>
          <w:tcPr>
            <w:tcW w:w="6527" w:type="dxa"/>
            <w:tcBorders>
              <w:tl2br w:val="nil"/>
              <w:tr2bl w:val="nil"/>
            </w:tcBorders>
            <w:vAlign w:val="center"/>
          </w:tcPr>
          <w:p w14:paraId="280D3393">
            <w:pPr>
              <w:widowControl/>
              <w:numPr>
                <w:ilvl w:val="0"/>
                <w:numId w:val="3"/>
              </w:numPr>
              <w:spacing w:line="440" w:lineRule="exact"/>
              <w:jc w:val="left"/>
              <w:rPr>
                <w:rFonts w:hint="eastAsia" w:ascii="仿宋" w:hAnsi="仿宋" w:eastAsia="仿宋" w:cs="仿宋"/>
                <w:b/>
                <w:bCs/>
                <w:color w:val="auto"/>
                <w:kern w:val="0"/>
                <w:sz w:val="24"/>
                <w:highlight w:val="none"/>
                <w:lang w:bidi="ar"/>
              </w:rPr>
            </w:pPr>
            <w:r>
              <w:rPr>
                <w:rFonts w:hint="eastAsia" w:ascii="仿宋" w:hAnsi="仿宋" w:eastAsia="仿宋" w:cs="仿宋"/>
                <w:b/>
                <w:bCs/>
                <w:color w:val="auto"/>
                <w:kern w:val="0"/>
                <w:sz w:val="24"/>
                <w:highlight w:val="none"/>
                <w:lang w:bidi="ar"/>
              </w:rPr>
              <w:t>本项目是否属于专门面向中小企业预留采购份额的项目：</w:t>
            </w:r>
            <w:r>
              <w:rPr>
                <w:rFonts w:hint="eastAsia" w:ascii="仿宋" w:hAnsi="仿宋" w:eastAsia="仿宋" w:cs="仿宋"/>
                <w:b/>
                <w:bCs/>
                <w:color w:val="auto"/>
                <w:kern w:val="0"/>
                <w:sz w:val="24"/>
                <w:highlight w:val="none"/>
                <w:u w:val="single"/>
                <w:lang w:bidi="ar"/>
              </w:rPr>
              <w:t xml:space="preserve"> 是   </w:t>
            </w:r>
          </w:p>
          <w:p w14:paraId="60449A50">
            <w:pPr>
              <w:widowControl/>
              <w:numPr>
                <w:ilvl w:val="0"/>
                <w:numId w:val="3"/>
              </w:numPr>
              <w:spacing w:line="440" w:lineRule="exact"/>
              <w:jc w:val="left"/>
              <w:rPr>
                <w:rFonts w:hint="eastAsia" w:ascii="仿宋" w:hAnsi="仿宋" w:eastAsia="仿宋" w:cs="仿宋"/>
                <w:b/>
                <w:bCs/>
                <w:color w:val="auto"/>
                <w:kern w:val="0"/>
                <w:sz w:val="24"/>
                <w:highlight w:val="none"/>
                <w:lang w:bidi="ar"/>
              </w:rPr>
            </w:pPr>
            <w:r>
              <w:rPr>
                <w:rFonts w:hint="eastAsia" w:ascii="仿宋" w:hAnsi="仿宋" w:eastAsia="仿宋" w:cs="仿宋"/>
                <w:b/>
                <w:bCs/>
                <w:color w:val="auto"/>
                <w:kern w:val="0"/>
                <w:sz w:val="24"/>
                <w:highlight w:val="none"/>
                <w:lang w:bidi="ar"/>
              </w:rPr>
              <w:t>预留采购份额措施：</w:t>
            </w:r>
            <w:r>
              <w:rPr>
                <w:rFonts w:hint="eastAsia" w:ascii="仿宋" w:hAnsi="仿宋" w:eastAsia="仿宋" w:cs="仿宋"/>
                <w:b/>
                <w:bCs/>
                <w:color w:val="auto"/>
                <w:kern w:val="0"/>
                <w:sz w:val="24"/>
                <w:highlight w:val="none"/>
                <w:u w:val="single"/>
                <w:lang w:bidi="ar"/>
              </w:rPr>
              <w:t xml:space="preserve">无 </w:t>
            </w:r>
          </w:p>
          <w:p w14:paraId="5D5B8A1C">
            <w:pPr>
              <w:widowControl/>
              <w:numPr>
                <w:ilvl w:val="0"/>
                <w:numId w:val="3"/>
              </w:numPr>
              <w:spacing w:line="440" w:lineRule="exact"/>
              <w:jc w:val="left"/>
              <w:rPr>
                <w:rFonts w:hint="eastAsia" w:ascii="仿宋" w:hAnsi="仿宋" w:eastAsia="仿宋" w:cs="仿宋"/>
                <w:b/>
                <w:bCs/>
                <w:color w:val="auto"/>
                <w:kern w:val="0"/>
                <w:sz w:val="24"/>
                <w:highlight w:val="none"/>
                <w:lang w:bidi="ar"/>
              </w:rPr>
            </w:pPr>
            <w:r>
              <w:rPr>
                <w:rFonts w:hint="eastAsia" w:ascii="仿宋" w:hAnsi="仿宋" w:eastAsia="仿宋" w:cs="仿宋"/>
                <w:b/>
                <w:bCs/>
                <w:color w:val="auto"/>
                <w:kern w:val="0"/>
                <w:sz w:val="24"/>
                <w:highlight w:val="none"/>
                <w:lang w:bidi="ar"/>
              </w:rPr>
              <w:t>是否落实小、微企业价格扣除扶持政策：</w:t>
            </w:r>
            <w:r>
              <w:rPr>
                <w:rFonts w:hint="eastAsia" w:ascii="仿宋" w:hAnsi="仿宋" w:eastAsia="仿宋" w:cs="仿宋"/>
                <w:b/>
                <w:bCs/>
                <w:color w:val="auto"/>
                <w:kern w:val="0"/>
                <w:sz w:val="24"/>
                <w:highlight w:val="none"/>
                <w:u w:val="single"/>
                <w:lang w:bidi="ar"/>
              </w:rPr>
              <w:t xml:space="preserve">否 </w:t>
            </w:r>
            <w:r>
              <w:rPr>
                <w:rFonts w:hint="eastAsia" w:ascii="仿宋" w:hAnsi="仿宋" w:eastAsia="仿宋" w:cs="仿宋"/>
                <w:b/>
                <w:bCs/>
                <w:color w:val="auto"/>
                <w:kern w:val="0"/>
                <w:sz w:val="24"/>
                <w:highlight w:val="none"/>
                <w:lang w:bidi="ar"/>
              </w:rPr>
              <w:t xml:space="preserve"> </w:t>
            </w:r>
          </w:p>
          <w:p w14:paraId="75055D13">
            <w:pPr>
              <w:widowControl/>
              <w:numPr>
                <w:ilvl w:val="0"/>
                <w:numId w:val="3"/>
              </w:numPr>
              <w:spacing w:line="440" w:lineRule="exact"/>
              <w:jc w:val="left"/>
              <w:rPr>
                <w:rFonts w:hint="eastAsia" w:ascii="仿宋" w:hAnsi="仿宋" w:eastAsia="仿宋" w:cs="仿宋"/>
                <w:bCs/>
                <w:color w:val="auto"/>
                <w:sz w:val="24"/>
                <w:highlight w:val="none"/>
              </w:rPr>
            </w:pPr>
            <w:r>
              <w:rPr>
                <w:rFonts w:hint="eastAsia" w:ascii="仿宋" w:hAnsi="仿宋" w:eastAsia="仿宋" w:cs="仿宋"/>
                <w:b/>
                <w:bCs/>
                <w:color w:val="auto"/>
                <w:kern w:val="0"/>
                <w:sz w:val="24"/>
                <w:highlight w:val="none"/>
                <w:lang w:bidi="ar"/>
              </w:rPr>
              <w:t>本项目中小企业划分标准所属行业：</w:t>
            </w:r>
            <w:r>
              <w:rPr>
                <w:rFonts w:hint="eastAsia" w:ascii="仿宋" w:hAnsi="仿宋" w:eastAsia="仿宋" w:cs="仿宋"/>
                <w:b/>
                <w:bCs/>
                <w:color w:val="auto"/>
                <w:kern w:val="0"/>
                <w:sz w:val="24"/>
                <w:highlight w:val="none"/>
                <w:u w:val="single"/>
                <w:lang w:bidi="ar"/>
              </w:rPr>
              <w:t>租赁和商务服务业</w:t>
            </w:r>
          </w:p>
        </w:tc>
      </w:tr>
      <w:tr w14:paraId="39FF2A1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51" w:type="dxa"/>
            <w:tcBorders>
              <w:tl2br w:val="nil"/>
              <w:tr2bl w:val="nil"/>
            </w:tcBorders>
            <w:vAlign w:val="center"/>
          </w:tcPr>
          <w:p w14:paraId="5CFAA113">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10</w:t>
            </w:r>
          </w:p>
        </w:tc>
        <w:tc>
          <w:tcPr>
            <w:tcW w:w="2787" w:type="dxa"/>
            <w:tcBorders>
              <w:tl2br w:val="nil"/>
              <w:tr2bl w:val="nil"/>
            </w:tcBorders>
            <w:vAlign w:val="center"/>
          </w:tcPr>
          <w:p w14:paraId="258E31D8">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磋商时间</w:t>
            </w:r>
          </w:p>
          <w:p w14:paraId="014E760A">
            <w:pPr>
              <w:spacing w:line="440" w:lineRule="exact"/>
              <w:jc w:val="center"/>
              <w:rPr>
                <w:rFonts w:hint="eastAsia" w:ascii="仿宋" w:hAnsi="仿宋" w:eastAsia="仿宋" w:cs="仿宋"/>
                <w:bCs/>
                <w:color w:val="auto"/>
                <w:sz w:val="24"/>
                <w:highlight w:val="none"/>
              </w:rPr>
            </w:pPr>
            <w:r>
              <w:rPr>
                <w:rFonts w:hint="eastAsia" w:ascii="仿宋" w:hAnsi="仿宋" w:eastAsia="仿宋" w:cs="仿宋"/>
                <w:color w:val="auto"/>
                <w:sz w:val="24"/>
                <w:highlight w:val="none"/>
              </w:rPr>
              <w:t>（磋商截止时间）</w:t>
            </w:r>
          </w:p>
        </w:tc>
        <w:tc>
          <w:tcPr>
            <w:tcW w:w="6527" w:type="dxa"/>
            <w:tcBorders>
              <w:tl2br w:val="nil"/>
              <w:tr2bl w:val="nil"/>
            </w:tcBorders>
            <w:vAlign w:val="center"/>
          </w:tcPr>
          <w:p w14:paraId="01BD1EFE">
            <w:pPr>
              <w:snapToGrid w:val="0"/>
              <w:spacing w:line="440" w:lineRule="exact"/>
              <w:rPr>
                <w:rFonts w:hint="eastAsia" w:ascii="仿宋" w:hAnsi="仿宋" w:eastAsia="仿宋" w:cs="仿宋"/>
                <w:b/>
                <w:bCs/>
                <w:color w:val="auto"/>
                <w:sz w:val="24"/>
                <w:highlight w:val="none"/>
                <w:u w:val="single"/>
              </w:rPr>
            </w:pPr>
            <w:r>
              <w:rPr>
                <w:rFonts w:hint="eastAsia" w:ascii="仿宋" w:hAnsi="仿宋" w:eastAsia="仿宋" w:cs="仿宋"/>
                <w:color w:val="auto"/>
                <w:kern w:val="0"/>
                <w:sz w:val="24"/>
                <w:highlight w:val="none"/>
              </w:rPr>
              <w:t>202</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年0</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13</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 xml:space="preserve">:00  </w:t>
            </w:r>
          </w:p>
        </w:tc>
      </w:tr>
      <w:tr w14:paraId="2DD20CB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51" w:type="dxa"/>
            <w:tcBorders>
              <w:tl2br w:val="nil"/>
              <w:tr2bl w:val="nil"/>
            </w:tcBorders>
            <w:vAlign w:val="center"/>
          </w:tcPr>
          <w:p w14:paraId="02092B1F">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11</w:t>
            </w:r>
          </w:p>
        </w:tc>
        <w:tc>
          <w:tcPr>
            <w:tcW w:w="2787" w:type="dxa"/>
            <w:tcBorders>
              <w:tl2br w:val="nil"/>
              <w:tr2bl w:val="nil"/>
            </w:tcBorders>
            <w:vAlign w:val="center"/>
          </w:tcPr>
          <w:p w14:paraId="189D8E6F">
            <w:pPr>
              <w:spacing w:line="440" w:lineRule="exact"/>
              <w:jc w:val="center"/>
              <w:rPr>
                <w:rFonts w:hint="eastAsia" w:ascii="仿宋" w:hAnsi="仿宋" w:eastAsia="仿宋" w:cs="仿宋"/>
                <w:bCs/>
                <w:color w:val="auto"/>
                <w:sz w:val="24"/>
                <w:highlight w:val="none"/>
              </w:rPr>
            </w:pPr>
            <w:r>
              <w:rPr>
                <w:rFonts w:hint="eastAsia" w:ascii="仿宋" w:hAnsi="仿宋" w:eastAsia="仿宋" w:cs="仿宋"/>
                <w:color w:val="auto"/>
                <w:kern w:val="0"/>
                <w:sz w:val="24"/>
                <w:highlight w:val="none"/>
              </w:rPr>
              <w:t>磋商地点</w:t>
            </w:r>
          </w:p>
        </w:tc>
        <w:tc>
          <w:tcPr>
            <w:tcW w:w="6527" w:type="dxa"/>
            <w:tcBorders>
              <w:tl2br w:val="nil"/>
              <w:tr2bl w:val="nil"/>
            </w:tcBorders>
            <w:vAlign w:val="center"/>
          </w:tcPr>
          <w:p w14:paraId="58E3E59B">
            <w:pPr>
              <w:adjustRightInd w:val="0"/>
              <w:snapToGrid w:val="0"/>
              <w:spacing w:line="440" w:lineRule="exact"/>
              <w:rPr>
                <w:rFonts w:hint="eastAsia" w:ascii="仿宋" w:hAnsi="仿宋" w:eastAsia="仿宋" w:cs="仿宋"/>
                <w:b/>
                <w:bCs/>
                <w:color w:val="auto"/>
                <w:sz w:val="24"/>
                <w:highlight w:val="none"/>
              </w:rPr>
            </w:pPr>
            <w:r>
              <w:rPr>
                <w:rFonts w:hint="eastAsia" w:ascii="仿宋" w:hAnsi="仿宋" w:eastAsia="仿宋" w:cs="仿宋"/>
                <w:bCs/>
                <w:color w:val="auto"/>
                <w:kern w:val="0"/>
                <w:sz w:val="24"/>
                <w:highlight w:val="none"/>
              </w:rPr>
              <w:t>湖州市公共资源交易中心（湖州市仁皇山片区金盖山路66号2号楼2楼）</w:t>
            </w:r>
            <w:r>
              <w:rPr>
                <w:rFonts w:hint="eastAsia" w:ascii="仿宋" w:hAnsi="仿宋" w:eastAsia="仿宋" w:cs="仿宋"/>
                <w:color w:val="auto"/>
                <w:kern w:val="0"/>
                <w:sz w:val="24"/>
                <w:highlight w:val="none"/>
              </w:rPr>
              <w:t>,具体详见二楼休息区大屏幕</w:t>
            </w:r>
            <w:r>
              <w:rPr>
                <w:rFonts w:hint="eastAsia" w:ascii="仿宋" w:hAnsi="仿宋" w:eastAsia="仿宋" w:cs="仿宋"/>
                <w:color w:val="auto"/>
                <w:kern w:val="0"/>
                <w:sz w:val="24"/>
                <w:highlight w:val="none"/>
                <w:lang w:eastAsia="zh-CN"/>
              </w:rPr>
              <w:t>。</w:t>
            </w:r>
          </w:p>
        </w:tc>
      </w:tr>
      <w:tr w14:paraId="136226F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51" w:type="dxa"/>
            <w:tcBorders>
              <w:tl2br w:val="nil"/>
              <w:tr2bl w:val="nil"/>
            </w:tcBorders>
            <w:vAlign w:val="center"/>
          </w:tcPr>
          <w:p w14:paraId="0CCDE1D9">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12</w:t>
            </w:r>
          </w:p>
        </w:tc>
        <w:tc>
          <w:tcPr>
            <w:tcW w:w="2787" w:type="dxa"/>
            <w:tcBorders>
              <w:tl2br w:val="nil"/>
              <w:tr2bl w:val="nil"/>
            </w:tcBorders>
            <w:vAlign w:val="center"/>
          </w:tcPr>
          <w:p w14:paraId="199F0A17">
            <w:pPr>
              <w:spacing w:line="440" w:lineRule="exact"/>
              <w:jc w:val="center"/>
              <w:rPr>
                <w:rFonts w:hint="eastAsia" w:ascii="仿宋" w:hAnsi="仿宋" w:eastAsia="仿宋" w:cs="仿宋"/>
                <w:bCs/>
                <w:color w:val="auto"/>
                <w:sz w:val="24"/>
                <w:highlight w:val="none"/>
              </w:rPr>
            </w:pPr>
            <w:r>
              <w:rPr>
                <w:rFonts w:hint="eastAsia" w:ascii="仿宋" w:hAnsi="仿宋" w:eastAsia="仿宋" w:cs="仿宋"/>
                <w:color w:val="auto"/>
                <w:kern w:val="0"/>
                <w:sz w:val="24"/>
                <w:highlight w:val="none"/>
              </w:rPr>
              <w:t>磋商响应文件有效期</w:t>
            </w:r>
          </w:p>
        </w:tc>
        <w:tc>
          <w:tcPr>
            <w:tcW w:w="6527" w:type="dxa"/>
            <w:tcBorders>
              <w:tl2br w:val="nil"/>
              <w:tr2bl w:val="nil"/>
            </w:tcBorders>
            <w:vAlign w:val="center"/>
          </w:tcPr>
          <w:p w14:paraId="1F3C1B73">
            <w:pPr>
              <w:spacing w:line="440" w:lineRule="exac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 xml:space="preserve">0天（日历天）  </w:t>
            </w:r>
          </w:p>
        </w:tc>
      </w:tr>
      <w:tr w14:paraId="4838662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1" w:type="dxa"/>
            <w:tcBorders>
              <w:tl2br w:val="nil"/>
              <w:tr2bl w:val="nil"/>
            </w:tcBorders>
            <w:vAlign w:val="center"/>
          </w:tcPr>
          <w:p w14:paraId="623C460E">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13</w:t>
            </w:r>
          </w:p>
        </w:tc>
        <w:tc>
          <w:tcPr>
            <w:tcW w:w="2787" w:type="dxa"/>
            <w:tcBorders>
              <w:tl2br w:val="nil"/>
              <w:tr2bl w:val="nil"/>
            </w:tcBorders>
            <w:vAlign w:val="center"/>
          </w:tcPr>
          <w:p w14:paraId="467AFFB6">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签订合同</w:t>
            </w:r>
          </w:p>
        </w:tc>
        <w:tc>
          <w:tcPr>
            <w:tcW w:w="6527" w:type="dxa"/>
            <w:tcBorders>
              <w:tl2br w:val="nil"/>
              <w:tr2bl w:val="nil"/>
            </w:tcBorders>
            <w:vAlign w:val="center"/>
          </w:tcPr>
          <w:p w14:paraId="5E7CC269">
            <w:pPr>
              <w:spacing w:line="440" w:lineRule="exac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成交通知书发出后30天内</w:t>
            </w:r>
          </w:p>
        </w:tc>
      </w:tr>
      <w:tr w14:paraId="0D3D463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1" w:type="dxa"/>
            <w:tcBorders>
              <w:tl2br w:val="nil"/>
              <w:tr2bl w:val="nil"/>
            </w:tcBorders>
            <w:vAlign w:val="center"/>
          </w:tcPr>
          <w:p w14:paraId="08FFFBC2">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14</w:t>
            </w:r>
          </w:p>
        </w:tc>
        <w:tc>
          <w:tcPr>
            <w:tcW w:w="2787" w:type="dxa"/>
            <w:tcBorders>
              <w:tl2br w:val="nil"/>
              <w:tr2bl w:val="nil"/>
            </w:tcBorders>
            <w:vAlign w:val="center"/>
          </w:tcPr>
          <w:p w14:paraId="2407F72A">
            <w:pPr>
              <w:spacing w:line="440" w:lineRule="exact"/>
              <w:jc w:val="center"/>
              <w:rPr>
                <w:rFonts w:hint="eastAsia" w:ascii="仿宋" w:hAnsi="仿宋" w:eastAsia="仿宋" w:cs="仿宋"/>
                <w:color w:val="auto"/>
                <w:kern w:val="0"/>
                <w:sz w:val="24"/>
                <w:highlight w:val="none"/>
              </w:rPr>
            </w:pPr>
            <w:r>
              <w:rPr>
                <w:rFonts w:hint="eastAsia" w:ascii="仿宋" w:hAnsi="仿宋" w:eastAsia="仿宋" w:cs="仿宋"/>
                <w:bCs/>
                <w:color w:val="auto"/>
                <w:sz w:val="24"/>
                <w:highlight w:val="none"/>
              </w:rPr>
              <w:t>磋商办法及标准</w:t>
            </w:r>
          </w:p>
        </w:tc>
        <w:tc>
          <w:tcPr>
            <w:tcW w:w="6527" w:type="dxa"/>
            <w:tcBorders>
              <w:tl2br w:val="nil"/>
              <w:tr2bl w:val="nil"/>
            </w:tcBorders>
            <w:vAlign w:val="center"/>
          </w:tcPr>
          <w:p w14:paraId="41F7B970">
            <w:pPr>
              <w:spacing w:line="440" w:lineRule="exact"/>
              <w:rPr>
                <w:rFonts w:hint="eastAsia" w:ascii="仿宋" w:hAnsi="仿宋" w:eastAsia="仿宋" w:cs="仿宋"/>
                <w:color w:val="auto"/>
                <w:kern w:val="0"/>
                <w:sz w:val="24"/>
                <w:highlight w:val="none"/>
              </w:rPr>
            </w:pPr>
            <w:r>
              <w:rPr>
                <w:rFonts w:hint="eastAsia" w:ascii="仿宋" w:hAnsi="仿宋" w:eastAsia="仿宋" w:cs="仿宋"/>
                <w:bCs/>
                <w:color w:val="auto"/>
                <w:sz w:val="24"/>
                <w:highlight w:val="none"/>
              </w:rPr>
              <w:t>详见磋商文件第四章</w:t>
            </w:r>
          </w:p>
        </w:tc>
      </w:tr>
      <w:tr w14:paraId="27F79F9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1" w:type="dxa"/>
            <w:tcBorders>
              <w:tl2br w:val="nil"/>
              <w:tr2bl w:val="nil"/>
            </w:tcBorders>
            <w:vAlign w:val="center"/>
          </w:tcPr>
          <w:p w14:paraId="510B5381">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15</w:t>
            </w:r>
          </w:p>
        </w:tc>
        <w:tc>
          <w:tcPr>
            <w:tcW w:w="2787" w:type="dxa"/>
            <w:tcBorders>
              <w:tl2br w:val="nil"/>
              <w:tr2bl w:val="nil"/>
            </w:tcBorders>
            <w:vAlign w:val="center"/>
          </w:tcPr>
          <w:p w14:paraId="785D9C75">
            <w:pPr>
              <w:spacing w:line="440" w:lineRule="exact"/>
              <w:jc w:val="center"/>
              <w:rPr>
                <w:rFonts w:hint="eastAsia" w:ascii="仿宋" w:hAnsi="仿宋" w:eastAsia="仿宋" w:cs="仿宋"/>
                <w:color w:val="auto"/>
                <w:kern w:val="0"/>
                <w:sz w:val="24"/>
                <w:highlight w:val="none"/>
              </w:rPr>
            </w:pPr>
            <w:r>
              <w:rPr>
                <w:rFonts w:hint="eastAsia" w:ascii="仿宋" w:hAnsi="仿宋" w:eastAsia="仿宋" w:cs="仿宋"/>
                <w:bCs/>
                <w:color w:val="auto"/>
                <w:sz w:val="24"/>
                <w:highlight w:val="none"/>
              </w:rPr>
              <w:t>采购单位</w:t>
            </w:r>
          </w:p>
        </w:tc>
        <w:tc>
          <w:tcPr>
            <w:tcW w:w="6527" w:type="dxa"/>
            <w:tcBorders>
              <w:tl2br w:val="nil"/>
              <w:tr2bl w:val="nil"/>
            </w:tcBorders>
            <w:vAlign w:val="center"/>
          </w:tcPr>
          <w:p w14:paraId="6E4469A6">
            <w:pPr>
              <w:spacing w:line="440" w:lineRule="exact"/>
              <w:rPr>
                <w:rFonts w:hint="eastAsia" w:ascii="仿宋" w:hAnsi="仿宋" w:eastAsia="仿宋" w:cs="仿宋"/>
                <w:color w:val="auto"/>
                <w:sz w:val="24"/>
                <w:highlight w:val="none"/>
              </w:rPr>
            </w:pPr>
            <w:r>
              <w:rPr>
                <w:rFonts w:hint="eastAsia" w:ascii="仿宋" w:hAnsi="仿宋" w:eastAsia="仿宋" w:cs="仿宋"/>
                <w:bCs/>
                <w:color w:val="auto"/>
                <w:sz w:val="24"/>
                <w:highlight w:val="none"/>
              </w:rPr>
              <w:t>详见磋商公告</w:t>
            </w:r>
          </w:p>
        </w:tc>
      </w:tr>
      <w:tr w14:paraId="0FF6537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1" w:type="dxa"/>
            <w:tcBorders>
              <w:tl2br w:val="nil"/>
              <w:tr2bl w:val="nil"/>
            </w:tcBorders>
            <w:vAlign w:val="center"/>
          </w:tcPr>
          <w:p w14:paraId="0059BD17">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16</w:t>
            </w:r>
          </w:p>
        </w:tc>
        <w:tc>
          <w:tcPr>
            <w:tcW w:w="2787" w:type="dxa"/>
            <w:tcBorders>
              <w:tl2br w:val="nil"/>
              <w:tr2bl w:val="nil"/>
            </w:tcBorders>
            <w:vAlign w:val="center"/>
          </w:tcPr>
          <w:p w14:paraId="2BB9784A">
            <w:pPr>
              <w:spacing w:line="440" w:lineRule="exact"/>
              <w:jc w:val="center"/>
              <w:rPr>
                <w:rFonts w:hint="eastAsia" w:ascii="仿宋" w:hAnsi="仿宋" w:eastAsia="仿宋" w:cs="仿宋"/>
                <w:color w:val="auto"/>
                <w:sz w:val="24"/>
                <w:highlight w:val="none"/>
              </w:rPr>
            </w:pPr>
            <w:r>
              <w:rPr>
                <w:rFonts w:hint="eastAsia" w:ascii="仿宋" w:hAnsi="仿宋" w:eastAsia="仿宋" w:cs="仿宋"/>
                <w:bCs/>
                <w:color w:val="auto"/>
                <w:sz w:val="24"/>
                <w:highlight w:val="none"/>
              </w:rPr>
              <w:t>特别说明</w:t>
            </w:r>
          </w:p>
        </w:tc>
        <w:tc>
          <w:tcPr>
            <w:tcW w:w="6527" w:type="dxa"/>
            <w:tcBorders>
              <w:tl2br w:val="nil"/>
              <w:tr2bl w:val="nil"/>
            </w:tcBorders>
            <w:vAlign w:val="center"/>
          </w:tcPr>
          <w:p w14:paraId="7ABB0DFB">
            <w:pPr>
              <w:widowControl/>
              <w:numPr>
                <w:ilvl w:val="0"/>
                <w:numId w:val="4"/>
              </w:numPr>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如遇“政采云平台”电子化开标或评审程序调整的，按调整后程序执行。</w:t>
            </w:r>
          </w:p>
          <w:p w14:paraId="245F59AD">
            <w:pPr>
              <w:widowControl/>
              <w:numPr>
                <w:ilvl w:val="0"/>
                <w:numId w:val="4"/>
              </w:numPr>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在磋商响应文件解密前，请务必检验CA锁与所用电脑的兼容性，部分电脑因CA驱动未正常安装、USB接口兼容性差等原因可能造成磋商响应文件解密失败。</w:t>
            </w:r>
          </w:p>
          <w:p w14:paraId="35BC3E1D">
            <w:pPr>
              <w:widowControl/>
              <w:numPr>
                <w:ilvl w:val="0"/>
                <w:numId w:val="4"/>
              </w:numPr>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使用综合评分法的采购项目，单一产品采购项目中提供相同品牌产品且通过资格审查、符合性审查的不同供应商参加同一合同项下投标的，按一家供应商计算，评审后得分最高得同品牌供应商获得成交候选供应商推荐资格；评审得分相同的，采取随机抽取方式确定，其他同品牌供应商不作为成交候选供应商。</w:t>
            </w:r>
          </w:p>
          <w:p w14:paraId="7FCCC61B">
            <w:pPr>
              <w:widowControl/>
              <w:numPr>
                <w:ilvl w:val="0"/>
                <w:numId w:val="4"/>
              </w:numPr>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非单一产品采购项目，已根据采购项目技术构成、产品价格比重等确定了核心产品，多家供应商提供的核心产品品牌相同的，按前款规定处理。</w:t>
            </w:r>
          </w:p>
          <w:p w14:paraId="4843485E">
            <w:pPr>
              <w:widowControl/>
              <w:numPr>
                <w:ilvl w:val="0"/>
                <w:numId w:val="4"/>
              </w:numPr>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供应商投标所使用的资格、信誉、荣誉、业绩与企业认证必须为本法人所拥有。供应商投标所使用的采购项目实施人员必须为本法人员工（或必须为本法人或控股公司正式员工）。</w:t>
            </w:r>
          </w:p>
          <w:p w14:paraId="704E85C7">
            <w:pPr>
              <w:widowControl/>
              <w:numPr>
                <w:ilvl w:val="0"/>
                <w:numId w:val="4"/>
              </w:numPr>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供应商应仔细阅读磋商文件的所有内容，按照磋商文件的要求提交磋商响应文件，并对所提供的全部资料的真实性承担法律责任。</w:t>
            </w:r>
          </w:p>
          <w:p w14:paraId="4249F753">
            <w:pPr>
              <w:widowControl/>
              <w:numPr>
                <w:ilvl w:val="0"/>
                <w:numId w:val="4"/>
              </w:numPr>
              <w:spacing w:line="440" w:lineRule="exact"/>
              <w:jc w:val="left"/>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val="zh-CN" w:bidi="ar"/>
              </w:rPr>
              <w:t>供应商在投标活动中提供任何虚假材料,其投标无效，并报监管部门查处；成交后发现的,成交供应商须依照《中华人民共和国消费者权益保护法》相关规定赔偿采购人，且民事赔偿并不免除违法供应商的行政与刑事责任。</w:t>
            </w:r>
          </w:p>
          <w:p w14:paraId="6FA10408">
            <w:pPr>
              <w:widowControl/>
              <w:numPr>
                <w:ilvl w:val="0"/>
                <w:numId w:val="4"/>
              </w:numPr>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如成交，成交供应商需根据采购人的要求提供纸质磋商响应文件。纸质文件必须与线上电子磋商响应文件一致，如采购人或其他监管部门发现不一致，记入不良行为档案。</w:t>
            </w:r>
          </w:p>
          <w:p w14:paraId="5CCC77F3">
            <w:pPr>
              <w:widowControl/>
              <w:numPr>
                <w:ilvl w:val="0"/>
                <w:numId w:val="4"/>
              </w:numPr>
              <w:spacing w:line="440" w:lineRule="exact"/>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val="zh-CN" w:bidi="ar"/>
              </w:rPr>
              <w:t>根据《浙江省财政厅关于明确政府采购保证金管理工作的通知》（浙财采监〔2019〕5号）规定“供应商在政府采购活动中违反政府采购相关规定给采购组织机构造成损失的，采购组织机构可按照采购文件约定要求供应商承担赔偿责任。”，对放弃成交资格的供应商，将要求其承担代理费和专家评审费等费用，供应商应无条件响应。</w:t>
            </w:r>
          </w:p>
        </w:tc>
      </w:tr>
      <w:tr w14:paraId="6C7BB67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1" w:type="dxa"/>
            <w:tcBorders>
              <w:tl2br w:val="nil"/>
              <w:tr2bl w:val="nil"/>
            </w:tcBorders>
            <w:vAlign w:val="center"/>
          </w:tcPr>
          <w:p w14:paraId="365F31D5">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17</w:t>
            </w:r>
          </w:p>
        </w:tc>
        <w:tc>
          <w:tcPr>
            <w:tcW w:w="2787" w:type="dxa"/>
            <w:tcBorders>
              <w:tl2br w:val="nil"/>
              <w:tr2bl w:val="nil"/>
            </w:tcBorders>
            <w:vAlign w:val="center"/>
          </w:tcPr>
          <w:p w14:paraId="16E49860">
            <w:pPr>
              <w:widowControl/>
              <w:spacing w:line="440" w:lineRule="exact"/>
              <w:jc w:val="center"/>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政府采购政策相关说明</w:t>
            </w:r>
          </w:p>
          <w:p w14:paraId="26D125E6">
            <w:pPr>
              <w:widowControl/>
              <w:spacing w:line="440" w:lineRule="exact"/>
              <w:jc w:val="center"/>
              <w:rPr>
                <w:rFonts w:hint="eastAsia" w:ascii="仿宋" w:hAnsi="仿宋" w:eastAsia="仿宋" w:cs="仿宋"/>
                <w:bCs/>
                <w:color w:val="auto"/>
                <w:sz w:val="24"/>
                <w:highlight w:val="none"/>
              </w:rPr>
            </w:pPr>
            <w:r>
              <w:rPr>
                <w:rFonts w:hint="eastAsia" w:ascii="仿宋" w:hAnsi="仿宋" w:eastAsia="仿宋" w:cs="仿宋"/>
                <w:color w:val="auto"/>
                <w:kern w:val="0"/>
                <w:sz w:val="24"/>
                <w:highlight w:val="none"/>
                <w:lang w:val="zh-CN" w:bidi="ar"/>
              </w:rPr>
              <w:t>（服务类）</w:t>
            </w:r>
          </w:p>
        </w:tc>
        <w:tc>
          <w:tcPr>
            <w:tcW w:w="6527" w:type="dxa"/>
            <w:tcBorders>
              <w:tl2br w:val="nil"/>
              <w:tr2bl w:val="nil"/>
            </w:tcBorders>
            <w:vAlign w:val="center"/>
          </w:tcPr>
          <w:p w14:paraId="7B36DE70">
            <w:pPr>
              <w:widowControl/>
              <w:spacing w:line="440" w:lineRule="exact"/>
              <w:jc w:val="left"/>
              <w:rPr>
                <w:rFonts w:hint="eastAsia" w:ascii="仿宋" w:hAnsi="仿宋" w:eastAsia="仿宋" w:cs="仿宋"/>
                <w:b/>
                <w:bCs/>
                <w:color w:val="auto"/>
                <w:kern w:val="0"/>
                <w:sz w:val="24"/>
                <w:highlight w:val="none"/>
                <w:lang w:val="zh-CN" w:bidi="ar"/>
              </w:rPr>
            </w:pPr>
            <w:r>
              <w:rPr>
                <w:rFonts w:hint="eastAsia" w:ascii="仿宋" w:hAnsi="仿宋" w:eastAsia="仿宋" w:cs="仿宋"/>
                <w:b/>
                <w:bCs/>
                <w:color w:val="auto"/>
                <w:kern w:val="0"/>
                <w:sz w:val="24"/>
                <w:highlight w:val="none"/>
                <w:lang w:val="zh-CN" w:bidi="ar"/>
              </w:rPr>
              <w:t>（一）文件依据</w:t>
            </w:r>
          </w:p>
          <w:p w14:paraId="727E54CD">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1.中小企业（含监狱企业、残疾人福利性单位）扶持政策：</w:t>
            </w:r>
          </w:p>
          <w:p w14:paraId="677D3CF9">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（1）关于进一步加大政府采购支持中小企业力度的通知（财库〔2022〕19号）</w:t>
            </w:r>
          </w:p>
          <w:p w14:paraId="48E241FD">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（2）浙江省财政厅关于进一步加大政府采购支持中小企业力度助力扎实稳住经济的通知（浙财采监〔2022〕8号）</w:t>
            </w:r>
          </w:p>
          <w:p w14:paraId="047328CE">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（3）浙江省财政厅关于进一步发挥政府采购政策功能全力推动经济稳进提质的通知（浙财采监〔2022〕3号）</w:t>
            </w:r>
          </w:p>
          <w:p w14:paraId="03BB7910">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（4）关于印发《政府采购促进中小企业发展管理办法》的通知（财库〔2020〕46号）</w:t>
            </w:r>
          </w:p>
          <w:p w14:paraId="21201D5F">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（5）《工业和信息化部、国家统计局、国家发展和改革委员会、财政部关于印发中小企业划型标准规定的通知》（工信部联企业〔2011〕300号）</w:t>
            </w:r>
          </w:p>
          <w:p w14:paraId="18A32CF1">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（6）浙江省财政厅、浙江省中小企业局转发财政部、工业和信息化部关于《政府采购促进中小企业发展暂行办法》的通知（浙财采监〔2012〕11号）</w:t>
            </w:r>
          </w:p>
          <w:p w14:paraId="7F1EECD2">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（7）财政部、司法部《关于政府采购支持监狱企业发展有关问题的通知》（财库〔2014〕68号）</w:t>
            </w:r>
          </w:p>
          <w:p w14:paraId="636F625B">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（8）《财政部民政部中国残疾人联合会关于促进残疾人就业政府采购政策的通知》（财库〔2017〕141号）</w:t>
            </w:r>
          </w:p>
          <w:p w14:paraId="5DF1796D">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（9）浙江省财政厅浙江省经济和信息化委员会浙江省中小企业局关于简化中小企业类别确认流程有关事项的通知（浙财采监〔201</w:t>
            </w:r>
            <w:r>
              <w:rPr>
                <w:rFonts w:hint="eastAsia" w:ascii="仿宋" w:hAnsi="仿宋" w:eastAsia="仿宋" w:cs="仿宋"/>
                <w:color w:val="auto"/>
                <w:kern w:val="0"/>
                <w:sz w:val="24"/>
                <w:highlight w:val="none"/>
                <w:lang w:bidi="ar"/>
              </w:rPr>
              <w:t>8</w:t>
            </w:r>
            <w:r>
              <w:rPr>
                <w:rFonts w:hint="eastAsia" w:ascii="仿宋" w:hAnsi="仿宋" w:eastAsia="仿宋" w:cs="仿宋"/>
                <w:color w:val="auto"/>
                <w:kern w:val="0"/>
                <w:sz w:val="24"/>
                <w:highlight w:val="none"/>
                <w:lang w:val="zh-CN" w:bidi="ar"/>
              </w:rPr>
              <w:t>〕2号）</w:t>
            </w:r>
          </w:p>
          <w:p w14:paraId="25AE262F">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2.节能环保政策：</w:t>
            </w:r>
          </w:p>
          <w:p w14:paraId="5EDED8D3">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（1）财政部发展改革委生态环境部市场监督总局关于调整优化节能产品环境标志产品政府采购执行机制的通知（财库〔2019〕9号）</w:t>
            </w:r>
          </w:p>
          <w:p w14:paraId="7FE4F4E0">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（2）关于印发环境标志产品政府采购品目清单的通知（财库〔2019〕18号）</w:t>
            </w:r>
          </w:p>
          <w:p w14:paraId="7C795696">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（3）关于印发节能产品政府采购品目清单的通知（财库〔2019〕19号）</w:t>
            </w:r>
          </w:p>
          <w:p w14:paraId="2EA36DFC">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（4）市场监管总局关于发布参与实施政府采购节能产品、环境标志产品认证机构名录的公告（2020年第16号）</w:t>
            </w:r>
          </w:p>
          <w:p w14:paraId="6A8E7310">
            <w:pPr>
              <w:widowControl/>
              <w:spacing w:line="440" w:lineRule="exact"/>
              <w:jc w:val="left"/>
              <w:rPr>
                <w:rFonts w:hint="eastAsia" w:ascii="仿宋" w:hAnsi="仿宋" w:eastAsia="仿宋" w:cs="仿宋"/>
                <w:b/>
                <w:bCs/>
                <w:color w:val="auto"/>
                <w:kern w:val="0"/>
                <w:sz w:val="24"/>
                <w:highlight w:val="none"/>
                <w:lang w:val="zh-CN" w:bidi="ar"/>
              </w:rPr>
            </w:pPr>
            <w:r>
              <w:rPr>
                <w:rFonts w:hint="eastAsia" w:ascii="仿宋" w:hAnsi="仿宋" w:eastAsia="仿宋" w:cs="仿宋"/>
                <w:b/>
                <w:bCs/>
                <w:color w:val="auto"/>
                <w:kern w:val="0"/>
                <w:sz w:val="24"/>
                <w:highlight w:val="none"/>
                <w:lang w:val="zh-CN" w:bidi="ar"/>
              </w:rPr>
              <w:t>（二）为落实政府采购政策需满足的要求</w:t>
            </w:r>
          </w:p>
          <w:p w14:paraId="474BAE89">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1.中小企业（含监狱企业、残疾人福利性单位）扶持政策</w:t>
            </w:r>
          </w:p>
          <w:p w14:paraId="29F0DC47">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1）在政府采购活动中，供应商提供的服务符合下列情形的，享受中小企业扶持政策：在服务采购项目中，服务由中小企业承接，即提供服务的人员为中小企业依照《中华人民共和国劳动合同法》订立劳动合同的从业人员。以联合体形式参加政府采购活动，联合体各方均为中小企业的，联合体视同中小企业。其中，联合体各方均为小微企业的，联合体视同小微企业。</w:t>
            </w:r>
          </w:p>
          <w:p w14:paraId="19A550E6">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（2）中小企业参加政府采购活动，应当出具符合规定的《中小企业声明函》,否则不得享受相关中小企业扶持政策。符合规定的，根据供应商须知前附表中的相关要求执行。</w:t>
            </w:r>
          </w:p>
          <w:p w14:paraId="0FF713DF">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（3）在政府采购活动中，监狱企业、残疾人福利性单位视同小型、微型企业；符合中小企业划分标准的个体工商户，在政府采购活动中视同中小企业；其均享受中小企业扶持政策。</w:t>
            </w:r>
          </w:p>
          <w:p w14:paraId="59FF6427">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（4）价格扣除有关政策</w:t>
            </w:r>
          </w:p>
          <w:p w14:paraId="4C2B8E01">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根据《政府采购促进中小企业发展管理办法》的通知（财库〔2020〕46号）、关于进一步加大政府采购支持中小企业力度的通知（财库〔2022〕19号）、浙江省财政厅关于进一步加大政府采购支持中小企业力度助力扎实稳住经济的通知，采购单位、采购代理机构应当对符合本办法规定的小微企业报价给予20%的扣除，用扣除后的价格参加评审。</w:t>
            </w:r>
          </w:p>
          <w:p w14:paraId="38C167B1">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5FB8DF68">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组成联合体或者接受分包的小微企业与联合体内其他企业、分包企业之间存在直接控股、管理关系的，不享受价格扣除优惠政策。</w:t>
            </w:r>
          </w:p>
          <w:p w14:paraId="420F7342">
            <w:pPr>
              <w:widowControl/>
              <w:spacing w:line="440" w:lineRule="exact"/>
              <w:jc w:val="left"/>
              <w:rPr>
                <w:rFonts w:hint="eastAsia" w:ascii="仿宋" w:hAnsi="仿宋" w:eastAsia="仿宋" w:cs="仿宋"/>
                <w:b/>
                <w:bCs/>
                <w:color w:val="auto"/>
                <w:kern w:val="0"/>
                <w:sz w:val="24"/>
                <w:highlight w:val="none"/>
                <w:lang w:val="zh-CN" w:bidi="ar"/>
              </w:rPr>
            </w:pPr>
            <w:r>
              <w:rPr>
                <w:rFonts w:hint="eastAsia" w:ascii="仿宋" w:hAnsi="仿宋" w:eastAsia="仿宋" w:cs="仿宋"/>
                <w:b/>
                <w:bCs/>
                <w:color w:val="auto"/>
                <w:kern w:val="0"/>
                <w:sz w:val="24"/>
                <w:highlight w:val="none"/>
                <w:lang w:val="zh-CN" w:bidi="ar"/>
              </w:rPr>
              <w:t>（5）价格扣除说明（</w:t>
            </w:r>
            <w:r>
              <w:rPr>
                <w:rFonts w:hint="eastAsia" w:ascii="仿宋" w:hAnsi="仿宋" w:eastAsia="仿宋" w:cs="仿宋"/>
                <w:b/>
                <w:bCs/>
                <w:color w:val="auto"/>
                <w:kern w:val="0"/>
                <w:sz w:val="24"/>
                <w:highlight w:val="none"/>
                <w:lang w:bidi="ar"/>
              </w:rPr>
              <w:t>本项目不适用</w:t>
            </w:r>
            <w:r>
              <w:rPr>
                <w:rFonts w:hint="eastAsia" w:ascii="仿宋" w:hAnsi="仿宋" w:eastAsia="仿宋" w:cs="仿宋"/>
                <w:b/>
                <w:bCs/>
                <w:color w:val="auto"/>
                <w:kern w:val="0"/>
                <w:sz w:val="24"/>
                <w:highlight w:val="none"/>
                <w:lang w:val="zh-CN" w:bidi="ar"/>
              </w:rPr>
              <w:t>）</w:t>
            </w:r>
          </w:p>
          <w:p w14:paraId="15B39150">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对符合规定的小微企业报价给予</w:t>
            </w:r>
            <w:r>
              <w:rPr>
                <w:rFonts w:hint="eastAsia" w:ascii="仿宋" w:hAnsi="仿宋" w:eastAsia="仿宋" w:cs="仿宋"/>
                <w:color w:val="auto"/>
                <w:kern w:val="0"/>
                <w:sz w:val="24"/>
                <w:highlight w:val="none"/>
                <w:lang w:bidi="ar"/>
              </w:rPr>
              <w:t>10-</w:t>
            </w:r>
            <w:r>
              <w:rPr>
                <w:rFonts w:hint="eastAsia" w:ascii="仿宋" w:hAnsi="仿宋" w:eastAsia="仿宋" w:cs="仿宋"/>
                <w:color w:val="auto"/>
                <w:kern w:val="0"/>
                <w:sz w:val="24"/>
                <w:highlight w:val="none"/>
                <w:lang w:val="zh-CN" w:bidi="ar"/>
              </w:rPr>
              <w:t>20%的扣除，用扣除后的价格参加评审。</w:t>
            </w:r>
          </w:p>
          <w:p w14:paraId="041CAE40">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①根据《政府采购促进中小企业发展管理办法》的通知（财库〔2020〕46号）、关于进一步加大政府采购支持中小企业力度的通知（财库〔2022〕19号）、浙江省财政厅关于进一步加大政府采购支持中小企业力度助力扎实稳住经济的通知，若服务由小型或微型企业承接的，应当在响应文件中出具此办法规定的《中小企业声明函》（格式见附件），对符合规定的小型、微型企业报价给予</w:t>
            </w:r>
            <w:r>
              <w:rPr>
                <w:rFonts w:hint="eastAsia" w:ascii="仿宋" w:hAnsi="仿宋" w:eastAsia="仿宋" w:cs="仿宋"/>
                <w:color w:val="auto"/>
                <w:kern w:val="0"/>
                <w:sz w:val="24"/>
                <w:highlight w:val="none"/>
                <w:lang w:bidi="ar"/>
              </w:rPr>
              <w:t>10-</w:t>
            </w:r>
            <w:r>
              <w:rPr>
                <w:rFonts w:hint="eastAsia" w:ascii="仿宋" w:hAnsi="仿宋" w:eastAsia="仿宋" w:cs="仿宋"/>
                <w:color w:val="auto"/>
                <w:kern w:val="0"/>
                <w:sz w:val="24"/>
                <w:highlight w:val="none"/>
                <w:lang w:val="zh-CN" w:bidi="ar"/>
              </w:rPr>
              <w:t>20%的扣除。</w:t>
            </w:r>
          </w:p>
          <w:p w14:paraId="130435A2">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②根据《关于政府采购支持监狱企业发展有关问题的通知》（财库〔2014〕68号）的规定，在政府采购活动中，监狱企业视同小型、微型企业，享受预留份额、评审中价格扣除等促进中小企业发展的政府采购政策，应当在响应文件中提供由省级以上监狱管理局、戒毒管理局（含新疆生产建设兵团）出具的属于监狱企业的证明文件（格式自拟），对符合规定的企业报价给予</w:t>
            </w:r>
            <w:r>
              <w:rPr>
                <w:rFonts w:hint="eastAsia" w:ascii="仿宋" w:hAnsi="仿宋" w:eastAsia="仿宋" w:cs="仿宋"/>
                <w:color w:val="auto"/>
                <w:kern w:val="0"/>
                <w:sz w:val="24"/>
                <w:highlight w:val="none"/>
                <w:lang w:bidi="ar"/>
              </w:rPr>
              <w:t>10-</w:t>
            </w:r>
            <w:r>
              <w:rPr>
                <w:rFonts w:hint="eastAsia" w:ascii="仿宋" w:hAnsi="仿宋" w:eastAsia="仿宋" w:cs="仿宋"/>
                <w:color w:val="auto"/>
                <w:kern w:val="0"/>
                <w:sz w:val="24"/>
                <w:highlight w:val="none"/>
                <w:lang w:val="zh-CN" w:bidi="ar"/>
              </w:rPr>
              <w:t>20%的扣除。</w:t>
            </w:r>
          </w:p>
          <w:p w14:paraId="37D21BE8">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③根据《财政部、民政部、中国残疾人联合会关于促进残疾人就业政府采购政策的通知》（财库〔2017〕141号）的规定，在政府采购活动中，残疾人福利性单位视同小型、微型企业，享受预留份额、评审中价格扣除等促进中小企业发展的政府采购政策，若供应商为残疾人福利性单位且由本单位提供服务的，应当在响应文件中提供此办法规定的《残疾人福利性单位声明函》（格式见附件），对符合规定的企业报价给予</w:t>
            </w:r>
            <w:r>
              <w:rPr>
                <w:rFonts w:hint="eastAsia" w:ascii="仿宋" w:hAnsi="仿宋" w:eastAsia="仿宋" w:cs="仿宋"/>
                <w:color w:val="auto"/>
                <w:kern w:val="0"/>
                <w:sz w:val="24"/>
                <w:highlight w:val="none"/>
                <w:lang w:bidi="ar"/>
              </w:rPr>
              <w:t>10-</w:t>
            </w:r>
            <w:r>
              <w:rPr>
                <w:rFonts w:hint="eastAsia" w:ascii="仿宋" w:hAnsi="仿宋" w:eastAsia="仿宋" w:cs="仿宋"/>
                <w:color w:val="auto"/>
                <w:kern w:val="0"/>
                <w:sz w:val="24"/>
                <w:highlight w:val="none"/>
                <w:lang w:val="zh-CN" w:bidi="ar"/>
              </w:rPr>
              <w:t>20%的扣除。</w:t>
            </w:r>
          </w:p>
          <w:p w14:paraId="70DBD551">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上述①、②、③价格扣除不重复计算，未提供以上材料的，均不给予价格扣除。</w:t>
            </w:r>
          </w:p>
          <w:p w14:paraId="182A61CA">
            <w:pPr>
              <w:widowControl/>
              <w:spacing w:line="440" w:lineRule="exact"/>
              <w:jc w:val="left"/>
              <w:rPr>
                <w:rFonts w:hint="eastAsia" w:ascii="仿宋" w:hAnsi="仿宋" w:eastAsia="仿宋" w:cs="仿宋"/>
                <w:color w:val="auto"/>
                <w:kern w:val="0"/>
                <w:sz w:val="24"/>
                <w:highlight w:val="none"/>
                <w:lang w:val="zh-CN" w:bidi="ar"/>
              </w:rPr>
            </w:pPr>
            <w:r>
              <w:rPr>
                <w:rFonts w:hint="eastAsia" w:ascii="仿宋" w:hAnsi="仿宋" w:eastAsia="仿宋" w:cs="仿宋"/>
                <w:color w:val="auto"/>
                <w:kern w:val="0"/>
                <w:sz w:val="24"/>
                <w:highlight w:val="none"/>
                <w:lang w:val="zh-CN" w:bidi="ar"/>
              </w:rPr>
              <w:t>此项由磋商小组集体核实后统一打分。</w:t>
            </w:r>
          </w:p>
          <w:p w14:paraId="3CD865CA">
            <w:pPr>
              <w:widowControl/>
              <w:spacing w:line="440" w:lineRule="exact"/>
              <w:jc w:val="left"/>
              <w:rPr>
                <w:rFonts w:hint="eastAsia" w:ascii="仿宋" w:hAnsi="仿宋" w:eastAsia="仿宋" w:cs="仿宋"/>
                <w:bCs/>
                <w:color w:val="auto"/>
                <w:sz w:val="24"/>
                <w:highlight w:val="none"/>
              </w:rPr>
            </w:pPr>
            <w:r>
              <w:rPr>
                <w:rFonts w:hint="eastAsia" w:ascii="仿宋" w:hAnsi="仿宋" w:eastAsia="仿宋" w:cs="仿宋"/>
                <w:color w:val="auto"/>
                <w:kern w:val="0"/>
                <w:sz w:val="24"/>
                <w:highlight w:val="none"/>
                <w:lang w:val="zh-CN" w:bidi="ar"/>
              </w:rPr>
              <w:t>2.其他的国家政策支持供应商享受其他国家政策支持的，需提供相关证明材料，详见评标方法，符合要求的，相应评分予以得分。</w:t>
            </w:r>
          </w:p>
        </w:tc>
      </w:tr>
      <w:tr w14:paraId="58DBAC5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1" w:type="dxa"/>
            <w:tcBorders>
              <w:tl2br w:val="nil"/>
              <w:tr2bl w:val="nil"/>
            </w:tcBorders>
            <w:vAlign w:val="center"/>
          </w:tcPr>
          <w:p w14:paraId="747B2332">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18</w:t>
            </w:r>
          </w:p>
        </w:tc>
        <w:tc>
          <w:tcPr>
            <w:tcW w:w="2787" w:type="dxa"/>
            <w:tcBorders>
              <w:tl2br w:val="nil"/>
              <w:tr2bl w:val="nil"/>
            </w:tcBorders>
            <w:vAlign w:val="center"/>
          </w:tcPr>
          <w:p w14:paraId="4EB4A2DF">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解释</w:t>
            </w:r>
          </w:p>
        </w:tc>
        <w:tc>
          <w:tcPr>
            <w:tcW w:w="6527" w:type="dxa"/>
            <w:tcBorders>
              <w:tl2br w:val="nil"/>
              <w:tr2bl w:val="nil"/>
            </w:tcBorders>
            <w:vAlign w:val="center"/>
          </w:tcPr>
          <w:p w14:paraId="6FD7BF47">
            <w:pPr>
              <w:spacing w:line="440" w:lineRule="exac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本磋商文件的解释权属于采购人及采购代理机构</w:t>
            </w:r>
          </w:p>
        </w:tc>
      </w:tr>
    </w:tbl>
    <w:p w14:paraId="20366C2F">
      <w:pPr>
        <w:spacing w:line="400" w:lineRule="exact"/>
        <w:jc w:val="left"/>
        <w:rPr>
          <w:rFonts w:hint="eastAsia" w:ascii="仿宋" w:hAnsi="仿宋" w:eastAsia="仿宋" w:cs="仿宋"/>
          <w:b/>
          <w:color w:val="auto"/>
          <w:sz w:val="24"/>
          <w:highlight w:val="none"/>
        </w:rPr>
      </w:pPr>
      <w:bookmarkStart w:id="18" w:name="_Toc23399"/>
      <w:bookmarkStart w:id="19" w:name="_Toc282640696"/>
      <w:bookmarkStart w:id="20" w:name="_Toc15998"/>
    </w:p>
    <w:p w14:paraId="7EBBED22">
      <w:pPr>
        <w:rPr>
          <w:rFonts w:hint="eastAsia"/>
        </w:rPr>
      </w:pPr>
    </w:p>
    <w:p w14:paraId="32D8C9E8">
      <w:pPr>
        <w:spacing w:line="360" w:lineRule="auto"/>
        <w:jc w:val="left"/>
        <w:rPr>
          <w:rFonts w:hint="eastAsia" w:ascii="仿宋" w:hAnsi="仿宋" w:eastAsia="仿宋" w:cs="仿宋"/>
          <w:b/>
          <w:color w:val="auto"/>
          <w:sz w:val="24"/>
          <w:highlight w:val="none"/>
        </w:rPr>
      </w:pPr>
    </w:p>
    <w:p w14:paraId="5876E134">
      <w:pPr>
        <w:spacing w:line="360" w:lineRule="auto"/>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一、适用范围</w:t>
      </w:r>
      <w:bookmarkEnd w:id="18"/>
      <w:bookmarkEnd w:id="19"/>
      <w:bookmarkEnd w:id="20"/>
    </w:p>
    <w:p w14:paraId="6825B8D1">
      <w:pPr>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仅适用于本次竞争性磋商采购所叙述的工程、货物和服务。</w:t>
      </w:r>
      <w:bookmarkStart w:id="21" w:name="_Toc282640697"/>
    </w:p>
    <w:p w14:paraId="7F78DCFA">
      <w:pPr>
        <w:spacing w:line="360" w:lineRule="auto"/>
        <w:jc w:val="left"/>
        <w:rPr>
          <w:rFonts w:hint="eastAsia" w:ascii="仿宋" w:hAnsi="仿宋" w:eastAsia="仿宋" w:cs="仿宋"/>
          <w:b/>
          <w:color w:val="auto"/>
          <w:sz w:val="24"/>
          <w:highlight w:val="none"/>
        </w:rPr>
      </w:pPr>
      <w:r>
        <w:rPr>
          <w:rFonts w:hint="eastAsia" w:ascii="仿宋" w:hAnsi="仿宋" w:eastAsia="仿宋" w:cs="仿宋"/>
          <w:bCs/>
          <w:color w:val="auto"/>
          <w:sz w:val="24"/>
          <w:highlight w:val="none"/>
        </w:rPr>
        <w:t>二、</w:t>
      </w:r>
      <w:r>
        <w:rPr>
          <w:rFonts w:hint="eastAsia" w:ascii="仿宋" w:hAnsi="仿宋" w:eastAsia="仿宋" w:cs="仿宋"/>
          <w:b/>
          <w:color w:val="auto"/>
          <w:sz w:val="24"/>
          <w:highlight w:val="none"/>
        </w:rPr>
        <w:t>定义</w:t>
      </w:r>
      <w:bookmarkEnd w:id="21"/>
    </w:p>
    <w:p w14:paraId="3C78F4F1">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1、“采购人”系指</w:t>
      </w:r>
      <w:r>
        <w:rPr>
          <w:rFonts w:hint="eastAsia" w:ascii="仿宋" w:hAnsi="仿宋" w:eastAsia="仿宋" w:cs="仿宋"/>
          <w:b/>
          <w:bCs/>
          <w:color w:val="auto"/>
          <w:kern w:val="0"/>
          <w:sz w:val="24"/>
          <w:highlight w:val="none"/>
          <w:lang w:eastAsia="zh-CN" w:bidi="ar"/>
        </w:rPr>
        <w:t>浙江省湖州市中级人民法院</w:t>
      </w:r>
      <w:r>
        <w:rPr>
          <w:rFonts w:hint="eastAsia" w:ascii="仿宋" w:hAnsi="仿宋" w:eastAsia="仿宋" w:cs="仿宋"/>
          <w:color w:val="auto"/>
          <w:kern w:val="0"/>
          <w:sz w:val="24"/>
          <w:highlight w:val="none"/>
          <w:lang w:bidi="ar"/>
        </w:rPr>
        <w:t xml:space="preserve">。 </w:t>
      </w:r>
    </w:p>
    <w:p w14:paraId="7C45F044">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2、“采购代理机构”系指</w:t>
      </w:r>
      <w:r>
        <w:rPr>
          <w:rFonts w:hint="eastAsia" w:ascii="仿宋" w:hAnsi="仿宋" w:eastAsia="仿宋" w:cs="仿宋"/>
          <w:b/>
          <w:bCs/>
          <w:color w:val="auto"/>
          <w:kern w:val="0"/>
          <w:sz w:val="24"/>
          <w:highlight w:val="none"/>
          <w:lang w:bidi="ar"/>
        </w:rPr>
        <w:t>浙江新诚信工程咨询有限公司</w:t>
      </w:r>
      <w:r>
        <w:rPr>
          <w:rFonts w:hint="eastAsia" w:ascii="仿宋" w:hAnsi="仿宋" w:eastAsia="仿宋" w:cs="仿宋"/>
          <w:color w:val="auto"/>
          <w:kern w:val="0"/>
          <w:sz w:val="24"/>
          <w:highlight w:val="none"/>
          <w:lang w:bidi="ar"/>
        </w:rPr>
        <w:t xml:space="preserve">。 </w:t>
      </w:r>
    </w:p>
    <w:p w14:paraId="2349058E">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3、“供应商”系指向采购代理机构提交磋商响应文件的供应商。 </w:t>
      </w:r>
    </w:p>
    <w:p w14:paraId="68C45F71">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4.“产品”系指供应商按竞争性磋商文件规定，须向采购单位提供的一切设备、保险、税金、 备品备件、工具、手册及其它有关技术资料和材料。 </w:t>
      </w:r>
    </w:p>
    <w:p w14:paraId="5E3AB5C9">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5.“服务”系指竞争性磋商文件规定供应商须承担的相关的安装、调试、技术协助、校准、 </w:t>
      </w:r>
    </w:p>
    <w:p w14:paraId="66899BCA">
      <w:pPr>
        <w:widowControl/>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培训、技术指导以及其他类似的义务。 </w:t>
      </w:r>
    </w:p>
    <w:p w14:paraId="6F98FE4E">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6.“项目”系指供应商按竞争性磋商文件规定向采购单位提供的产品和服务。 </w:t>
      </w:r>
    </w:p>
    <w:p w14:paraId="7A4CF107">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7.“书面形式”包括信函、传真、电报等。 </w:t>
      </w:r>
    </w:p>
    <w:p w14:paraId="463B56CC">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8.“▲”系指实质性要求条款，供应商必须做出实质性响应，否则将作无效标处理。</w:t>
      </w:r>
    </w:p>
    <w:p w14:paraId="7B843E2D">
      <w:pPr>
        <w:spacing w:line="360" w:lineRule="auto"/>
        <w:jc w:val="left"/>
        <w:rPr>
          <w:rFonts w:hint="eastAsia" w:ascii="仿宋" w:hAnsi="仿宋" w:eastAsia="仿宋" w:cs="仿宋"/>
          <w:b/>
          <w:color w:val="auto"/>
          <w:sz w:val="24"/>
          <w:highlight w:val="none"/>
        </w:rPr>
      </w:pPr>
      <w:bookmarkStart w:id="22" w:name="_Toc31441"/>
      <w:bookmarkStart w:id="23" w:name="_Toc2086"/>
      <w:bookmarkStart w:id="24" w:name="_Toc282640698"/>
      <w:r>
        <w:rPr>
          <w:rFonts w:hint="eastAsia" w:ascii="仿宋" w:hAnsi="仿宋" w:eastAsia="仿宋" w:cs="仿宋"/>
          <w:b/>
          <w:color w:val="auto"/>
          <w:sz w:val="24"/>
          <w:highlight w:val="none"/>
        </w:rPr>
        <w:t>三、供应商的资格要求</w:t>
      </w:r>
      <w:bookmarkEnd w:id="22"/>
      <w:bookmarkEnd w:id="23"/>
      <w:bookmarkEnd w:id="24"/>
    </w:p>
    <w:p w14:paraId="48E1EFE3">
      <w:pPr>
        <w:spacing w:line="360" w:lineRule="auto"/>
        <w:rPr>
          <w:rFonts w:hint="eastAsia" w:ascii="仿宋" w:hAnsi="仿宋" w:eastAsia="仿宋" w:cs="仿宋"/>
          <w:bCs/>
          <w:color w:val="auto"/>
          <w:sz w:val="24"/>
          <w:highlight w:val="none"/>
        </w:rPr>
      </w:pPr>
      <w:bookmarkStart w:id="25" w:name="_Toc282640699"/>
      <w:r>
        <w:rPr>
          <w:rFonts w:hint="eastAsia" w:ascii="仿宋" w:hAnsi="仿宋" w:eastAsia="仿宋" w:cs="仿宋"/>
          <w:bCs/>
          <w:color w:val="auto"/>
          <w:sz w:val="24"/>
          <w:highlight w:val="none"/>
        </w:rPr>
        <w:t xml:space="preserve">    符合竞争性磋商公告第二条供应商资格要求。</w:t>
      </w:r>
    </w:p>
    <w:p w14:paraId="36605E29">
      <w:pPr>
        <w:spacing w:line="360" w:lineRule="auto"/>
        <w:jc w:val="left"/>
        <w:rPr>
          <w:rFonts w:hint="eastAsia" w:ascii="仿宋" w:hAnsi="仿宋" w:eastAsia="仿宋" w:cs="仿宋"/>
          <w:b/>
          <w:color w:val="auto"/>
          <w:sz w:val="24"/>
          <w:highlight w:val="none"/>
        </w:rPr>
      </w:pPr>
      <w:bookmarkStart w:id="26" w:name="_Toc12662"/>
      <w:bookmarkStart w:id="27" w:name="_Toc19212"/>
      <w:r>
        <w:rPr>
          <w:rFonts w:hint="eastAsia" w:ascii="仿宋" w:hAnsi="仿宋" w:eastAsia="仿宋" w:cs="仿宋"/>
          <w:b/>
          <w:color w:val="auto"/>
          <w:sz w:val="24"/>
          <w:highlight w:val="none"/>
        </w:rPr>
        <w:t>四、磋商费用</w:t>
      </w:r>
      <w:bookmarkEnd w:id="25"/>
      <w:bookmarkEnd w:id="26"/>
      <w:bookmarkEnd w:id="27"/>
    </w:p>
    <w:p w14:paraId="4D7781CC">
      <w:pPr>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无论竞争性磋商过程和结果如何，供应商自行承担与磋商响应有关的全部费用。</w:t>
      </w:r>
    </w:p>
    <w:p w14:paraId="23DDE0D4">
      <w:pPr>
        <w:spacing w:line="360" w:lineRule="auto"/>
        <w:jc w:val="left"/>
        <w:rPr>
          <w:rFonts w:hint="eastAsia" w:ascii="仿宋" w:hAnsi="仿宋" w:eastAsia="仿宋" w:cs="仿宋"/>
          <w:b/>
          <w:color w:val="auto"/>
          <w:sz w:val="24"/>
          <w:highlight w:val="none"/>
        </w:rPr>
      </w:pPr>
      <w:bookmarkStart w:id="28" w:name="_Toc282640700"/>
      <w:bookmarkStart w:id="29" w:name="_Toc26958"/>
      <w:bookmarkStart w:id="30" w:name="_Toc14194"/>
      <w:bookmarkStart w:id="31" w:name="_Toc282640701"/>
      <w:r>
        <w:rPr>
          <w:rFonts w:hint="eastAsia" w:ascii="仿宋" w:hAnsi="仿宋" w:eastAsia="仿宋" w:cs="仿宋"/>
          <w:b/>
          <w:color w:val="auto"/>
          <w:sz w:val="24"/>
          <w:highlight w:val="none"/>
        </w:rPr>
        <w:t>五、竞争性磋商报价</w:t>
      </w:r>
      <w:bookmarkEnd w:id="28"/>
      <w:bookmarkEnd w:id="29"/>
      <w:bookmarkEnd w:id="30"/>
    </w:p>
    <w:p w14:paraId="6684D1F8">
      <w:p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1、竞争性磋商报价以人民币为结算货币。</w:t>
      </w:r>
    </w:p>
    <w:p w14:paraId="12ACC7D4">
      <w:p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2、供应商应按竞争性磋商文件的要求认真填写相应材料，磋商响应文件的大写金额和小写金额不一致的，以大写金额为准；总价金额与按单价汇总金额不一致的，以单价金额计算结果为准；单价金额小数点有明显错位的，应以总价为准，并修改单价。</w:t>
      </w:r>
    </w:p>
    <w:p w14:paraId="476B0325">
      <w:pPr>
        <w:spacing w:line="360" w:lineRule="auto"/>
        <w:ind w:firstLine="48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▲3、磋商报价是履行合同的最终价格，即应包括劳务、管理、各类人员工资、利润、税金</w:t>
      </w:r>
      <w:r>
        <w:rPr>
          <w:rFonts w:hint="eastAsia" w:ascii="仿宋" w:hAnsi="仿宋" w:eastAsia="仿宋" w:cs="仿宋"/>
          <w:bCs/>
          <w:color w:val="auto"/>
          <w:sz w:val="24"/>
          <w:highlight w:val="none"/>
          <w:lang w:val="en-US" w:eastAsia="zh-CN"/>
        </w:rPr>
        <w:t>等</w:t>
      </w:r>
      <w:r>
        <w:rPr>
          <w:rFonts w:hint="eastAsia" w:ascii="仿宋" w:hAnsi="仿宋" w:eastAsia="仿宋" w:cs="仿宋"/>
          <w:bCs/>
          <w:color w:val="auto"/>
          <w:sz w:val="24"/>
          <w:highlight w:val="none"/>
        </w:rPr>
        <w:t>的所有费用；供应商应同时列出认为必要的其他费用，</w:t>
      </w:r>
      <w:r>
        <w:rPr>
          <w:rFonts w:hint="eastAsia" w:ascii="仿宋" w:hAnsi="仿宋" w:eastAsia="仿宋" w:cs="仿宋"/>
          <w:bCs/>
          <w:color w:val="auto"/>
          <w:sz w:val="24"/>
          <w:highlight w:val="none"/>
          <w:lang w:val="en-US" w:eastAsia="zh-CN"/>
        </w:rPr>
        <w:t>采购</w:t>
      </w:r>
      <w:r>
        <w:rPr>
          <w:rFonts w:hint="eastAsia" w:ascii="仿宋" w:hAnsi="仿宋" w:eastAsia="仿宋" w:cs="仿宋"/>
          <w:bCs/>
          <w:color w:val="auto"/>
          <w:sz w:val="24"/>
          <w:highlight w:val="none"/>
        </w:rPr>
        <w:t>结束后不再另行增加费用。</w:t>
      </w:r>
    </w:p>
    <w:p w14:paraId="1FDE186A">
      <w:pPr>
        <w:spacing w:line="360" w:lineRule="auto"/>
        <w:ind w:firstLine="480"/>
        <w:rPr>
          <w:rFonts w:hint="eastAsia" w:ascii="仿宋" w:hAnsi="仿宋" w:eastAsia="仿宋" w:cs="仿宋"/>
          <w:color w:val="auto"/>
          <w:sz w:val="24"/>
          <w:highlight w:val="none"/>
        </w:rPr>
      </w:pPr>
      <w:r>
        <w:rPr>
          <w:rFonts w:hint="eastAsia" w:ascii="仿宋" w:hAnsi="仿宋" w:eastAsia="仿宋" w:cs="仿宋"/>
          <w:bCs/>
          <w:color w:val="auto"/>
          <w:sz w:val="24"/>
          <w:highlight w:val="none"/>
        </w:rPr>
        <w:t>4、供应商应充分考虑因各种原因可能发生的费用。对没有填报的费用，采购人认为所有费用已包含在总价中，除合同条款另有规定外，不得进行</w:t>
      </w:r>
      <w:r>
        <w:rPr>
          <w:rFonts w:hint="eastAsia" w:ascii="仿宋" w:hAnsi="仿宋" w:eastAsia="仿宋" w:cs="仿宋"/>
          <w:color w:val="auto"/>
          <w:sz w:val="24"/>
          <w:highlight w:val="none"/>
        </w:rPr>
        <w:t>调整。</w:t>
      </w:r>
    </w:p>
    <w:p w14:paraId="3E4FF657">
      <w:pPr>
        <w:spacing w:line="360" w:lineRule="auto"/>
        <w:jc w:val="left"/>
        <w:rPr>
          <w:rFonts w:hint="default" w:ascii="仿宋" w:hAnsi="仿宋" w:eastAsia="仿宋" w:cs="仿宋"/>
          <w:bCs/>
          <w:color w:val="auto"/>
          <w:sz w:val="24"/>
          <w:highlight w:val="none"/>
          <w:lang w:val="en-US" w:eastAsia="zh-CN"/>
        </w:rPr>
      </w:pPr>
      <w:bookmarkStart w:id="32" w:name="_Toc7971"/>
      <w:bookmarkStart w:id="33" w:name="_Toc21742"/>
      <w:r>
        <w:rPr>
          <w:rFonts w:hint="eastAsia" w:ascii="仿宋" w:hAnsi="仿宋" w:eastAsia="仿宋" w:cs="仿宋"/>
          <w:b/>
          <w:color w:val="auto"/>
          <w:sz w:val="24"/>
          <w:highlight w:val="none"/>
        </w:rPr>
        <w:t>六、</w:t>
      </w:r>
      <w:bookmarkEnd w:id="31"/>
      <w:bookmarkEnd w:id="32"/>
      <w:bookmarkEnd w:id="33"/>
      <w:bookmarkStart w:id="34" w:name="_Toc9887"/>
      <w:bookmarkStart w:id="35" w:name="_Toc15229"/>
      <w:r>
        <w:rPr>
          <w:rFonts w:hint="eastAsia" w:ascii="仿宋" w:hAnsi="仿宋" w:eastAsia="仿宋" w:cs="仿宋"/>
          <w:b/>
          <w:color w:val="auto"/>
          <w:sz w:val="24"/>
          <w:highlight w:val="none"/>
        </w:rPr>
        <w:t>履约保证金</w:t>
      </w:r>
      <w:bookmarkEnd w:id="34"/>
      <w:bookmarkEnd w:id="35"/>
      <w:r>
        <w:rPr>
          <w:rFonts w:hint="eastAsia" w:ascii="仿宋" w:hAnsi="仿宋" w:eastAsia="仿宋" w:cs="仿宋"/>
          <w:b/>
          <w:color w:val="auto"/>
          <w:sz w:val="24"/>
          <w:highlight w:val="none"/>
          <w:u w:val="none"/>
          <w:lang w:eastAsia="zh-CN"/>
        </w:rPr>
        <w:t>：</w:t>
      </w:r>
      <w:r>
        <w:rPr>
          <w:rFonts w:hint="eastAsia" w:ascii="仿宋" w:hAnsi="仿宋" w:eastAsia="仿宋" w:cs="仿宋"/>
          <w:b/>
          <w:color w:val="auto"/>
          <w:sz w:val="24"/>
          <w:highlight w:val="none"/>
          <w:u w:val="none"/>
          <w:lang w:val="en-US" w:eastAsia="zh-CN"/>
        </w:rPr>
        <w:t>无</w:t>
      </w:r>
    </w:p>
    <w:p w14:paraId="3F5B3591">
      <w:pPr>
        <w:spacing w:line="360" w:lineRule="auto"/>
        <w:rPr>
          <w:rFonts w:hint="eastAsia" w:ascii="仿宋" w:hAnsi="仿宋" w:eastAsia="仿宋" w:cs="仿宋"/>
          <w:b/>
          <w:color w:val="auto"/>
          <w:sz w:val="24"/>
          <w:highlight w:val="none"/>
        </w:rPr>
      </w:pPr>
      <w:bookmarkStart w:id="36" w:name="_Toc414960347"/>
      <w:bookmarkEnd w:id="36"/>
      <w:bookmarkStart w:id="37" w:name="_Toc27409"/>
      <w:bookmarkStart w:id="38" w:name="_Toc31890"/>
      <w:r>
        <w:rPr>
          <w:rFonts w:hint="eastAsia" w:ascii="仿宋" w:hAnsi="仿宋" w:eastAsia="仿宋" w:cs="仿宋"/>
          <w:b/>
          <w:color w:val="auto"/>
          <w:sz w:val="24"/>
          <w:highlight w:val="none"/>
        </w:rPr>
        <w:t>七、磋商文件有效期</w:t>
      </w:r>
      <w:bookmarkEnd w:id="37"/>
      <w:bookmarkEnd w:id="38"/>
    </w:p>
    <w:p w14:paraId="2F9BF35E">
      <w:p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1、响应文件从磋商之日起，有效期为</w:t>
      </w: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0天。</w:t>
      </w:r>
    </w:p>
    <w:p w14:paraId="47B01269">
      <w:p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2、特殊情况下，采购人可与供应商协商延缓响应文件的有效期，这种要求和答复均以书面形式进行。</w:t>
      </w:r>
    </w:p>
    <w:p w14:paraId="67403EEF">
      <w:pPr>
        <w:spacing w:line="360" w:lineRule="auto"/>
        <w:ind w:firstLine="48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3、供应商可拒绝接受延期要求。同意延长有效期的供应商不能修改磋商响应文件。</w:t>
      </w:r>
      <w:bookmarkStart w:id="39" w:name="_Toc282640702"/>
    </w:p>
    <w:p w14:paraId="24DAB66D">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八、响应文件的组成</w:t>
      </w:r>
      <w:bookmarkEnd w:id="39"/>
      <w:r>
        <w:rPr>
          <w:rFonts w:hint="eastAsia" w:ascii="仿宋" w:hAnsi="仿宋" w:eastAsia="仿宋" w:cs="仿宋"/>
          <w:b/>
          <w:color w:val="auto"/>
          <w:sz w:val="24"/>
          <w:highlight w:val="none"/>
        </w:rPr>
        <w:t>（如无格式，格式自拟）</w:t>
      </w:r>
    </w:p>
    <w:p w14:paraId="78DF5759">
      <w:p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1、供应商应仔细阅读竞争性磋商文件中的所有内容，按照磋商文件及采购服务要求，详细编制响应文件。并对磋商文件的要求做出实质上的响应。未实质上响应的响应文件将可能导致被拒绝，但允许报价在满足并优于采购要求的前提下出现的微小差异。</w:t>
      </w:r>
    </w:p>
    <w:p w14:paraId="2B940B1B">
      <w:p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2、供应商必须按竞争性磋商文件的要求提供相关技术文件、资料，包括采用的计量单位，并保证响应文件的正确性和真实性，响应文件全部内容应保持一致，否则可能导致不利于其磋商的评定甚至被拒绝。技术和商务如有偏离均应填写偏离表。</w:t>
      </w:r>
    </w:p>
    <w:p w14:paraId="43762AB5">
      <w:pPr>
        <w:spacing w:line="360" w:lineRule="auto"/>
        <w:ind w:firstLine="48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3、响应文件的组成</w:t>
      </w:r>
    </w:p>
    <w:p w14:paraId="31BAA5B4">
      <w:pPr>
        <w:autoSpaceDE w:val="0"/>
        <w:autoSpaceDN w:val="0"/>
        <w:adjustRightInd w:val="0"/>
        <w:snapToGrid w:val="0"/>
        <w:spacing w:line="360" w:lineRule="auto"/>
        <w:ind w:firstLine="487" w:firstLineChars="202"/>
        <w:textAlignment w:val="bottom"/>
        <w:rPr>
          <w:rFonts w:hint="eastAsia" w:ascii="仿宋" w:hAnsi="仿宋" w:eastAsia="仿宋" w:cs="仿宋"/>
          <w:b/>
          <w:color w:val="auto"/>
          <w:sz w:val="24"/>
          <w:highlight w:val="none"/>
          <w:u w:val="single"/>
        </w:rPr>
      </w:pPr>
      <w:r>
        <w:rPr>
          <w:rFonts w:hint="eastAsia" w:ascii="仿宋" w:hAnsi="仿宋" w:eastAsia="仿宋" w:cs="仿宋"/>
          <w:b/>
          <w:color w:val="auto"/>
          <w:sz w:val="24"/>
          <w:highlight w:val="none"/>
          <w:u w:val="single"/>
        </w:rPr>
        <w:t>3.1 资格证明文件</w:t>
      </w:r>
    </w:p>
    <w:p w14:paraId="197B668E">
      <w:pPr>
        <w:numPr>
          <w:ilvl w:val="255"/>
          <w:numId w:val="0"/>
        </w:numPr>
        <w:tabs>
          <w:tab w:val="left" w:pos="420"/>
        </w:tabs>
        <w:spacing w:line="360" w:lineRule="auto"/>
        <w:ind w:left="41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1）磋商声明书（格式见</w:t>
      </w:r>
      <w:r>
        <w:rPr>
          <w:rFonts w:hint="eastAsia" w:ascii="仿宋" w:hAnsi="仿宋" w:eastAsia="仿宋" w:cs="仿宋"/>
          <w:color w:val="auto"/>
          <w:kern w:val="0"/>
          <w:sz w:val="24"/>
          <w:highlight w:val="none"/>
          <w:lang w:val="en-US" w:eastAsia="zh-CN"/>
        </w:rPr>
        <w:t>第六章</w:t>
      </w:r>
      <w:r>
        <w:rPr>
          <w:rFonts w:hint="eastAsia" w:ascii="仿宋" w:hAnsi="仿宋" w:eastAsia="仿宋" w:cs="仿宋"/>
          <w:color w:val="auto"/>
          <w:kern w:val="0"/>
          <w:sz w:val="24"/>
          <w:highlight w:val="none"/>
        </w:rPr>
        <w:t>）；</w:t>
      </w:r>
    </w:p>
    <w:p w14:paraId="117A03B2">
      <w:pPr>
        <w:numPr>
          <w:ilvl w:val="255"/>
          <w:numId w:val="0"/>
        </w:numPr>
        <w:tabs>
          <w:tab w:val="left" w:pos="420"/>
        </w:tabs>
        <w:spacing w:line="360" w:lineRule="auto"/>
        <w:ind w:left="415"/>
        <w:rPr>
          <w:rFonts w:hint="eastAsia" w:ascii="仿宋" w:hAnsi="仿宋" w:eastAsia="仿宋" w:cs="仿宋"/>
          <w:color w:val="auto"/>
          <w:highlight w:val="none"/>
          <w:lang w:val="en-US" w:eastAsia="zh-CN"/>
        </w:rPr>
      </w:pPr>
      <w:r>
        <w:rPr>
          <w:rFonts w:hint="eastAsia" w:ascii="仿宋" w:hAnsi="仿宋" w:eastAsia="仿宋" w:cs="仿宋"/>
          <w:color w:val="auto"/>
          <w:kern w:val="0"/>
          <w:sz w:val="24"/>
          <w:highlight w:val="none"/>
        </w:rPr>
        <w:t>2）有效的企业营业执照、税务登记证（已办理“三证合一”或“五证合一”的企业无须提供税务登记证）扫描件加盖公章；</w:t>
      </w:r>
    </w:p>
    <w:p w14:paraId="01DE9EF1">
      <w:pPr>
        <w:numPr>
          <w:ilvl w:val="255"/>
          <w:numId w:val="0"/>
        </w:numPr>
        <w:tabs>
          <w:tab w:val="left" w:pos="420"/>
        </w:tabs>
        <w:spacing w:line="360" w:lineRule="auto"/>
        <w:ind w:left="41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3）保安服务许可证</w:t>
      </w:r>
      <w:r>
        <w:rPr>
          <w:rFonts w:hint="eastAsia" w:ascii="仿宋" w:hAnsi="仿宋" w:eastAsia="仿宋" w:cs="仿宋"/>
          <w:color w:val="auto"/>
          <w:kern w:val="0"/>
          <w:sz w:val="24"/>
          <w:highlight w:val="none"/>
          <w:lang w:val="en-US" w:eastAsia="zh-CN"/>
        </w:rPr>
        <w:t>扫描件加盖公章</w:t>
      </w:r>
      <w:r>
        <w:rPr>
          <w:rFonts w:hint="eastAsia" w:ascii="仿宋" w:hAnsi="仿宋" w:eastAsia="仿宋" w:cs="仿宋"/>
          <w:color w:val="auto"/>
          <w:kern w:val="0"/>
          <w:sz w:val="24"/>
          <w:highlight w:val="none"/>
          <w:lang w:eastAsia="zh-CN"/>
        </w:rPr>
        <w:t>；</w:t>
      </w:r>
    </w:p>
    <w:p w14:paraId="0BC89B15">
      <w:pPr>
        <w:numPr>
          <w:ilvl w:val="255"/>
          <w:numId w:val="0"/>
        </w:numPr>
        <w:tabs>
          <w:tab w:val="left" w:pos="420"/>
        </w:tabs>
        <w:spacing w:line="360" w:lineRule="auto"/>
        <w:ind w:left="41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4）法定代表人身份证明书（格式见</w:t>
      </w:r>
      <w:r>
        <w:rPr>
          <w:rFonts w:hint="eastAsia" w:ascii="仿宋" w:hAnsi="仿宋" w:eastAsia="仿宋" w:cs="仿宋"/>
          <w:color w:val="auto"/>
          <w:kern w:val="0"/>
          <w:sz w:val="24"/>
          <w:highlight w:val="none"/>
          <w:lang w:val="en-US" w:eastAsia="zh-CN"/>
        </w:rPr>
        <w:t>第六章</w:t>
      </w:r>
      <w:r>
        <w:rPr>
          <w:rFonts w:hint="eastAsia" w:ascii="仿宋" w:hAnsi="仿宋" w:eastAsia="仿宋" w:cs="仿宋"/>
          <w:color w:val="auto"/>
          <w:kern w:val="0"/>
          <w:sz w:val="24"/>
          <w:highlight w:val="none"/>
        </w:rPr>
        <w:t>）；</w:t>
      </w:r>
    </w:p>
    <w:p w14:paraId="67DDF1DF">
      <w:pPr>
        <w:numPr>
          <w:ilvl w:val="255"/>
          <w:numId w:val="0"/>
        </w:numPr>
        <w:tabs>
          <w:tab w:val="left" w:pos="420"/>
        </w:tabs>
        <w:spacing w:line="360" w:lineRule="auto"/>
        <w:ind w:left="41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5）法定代表人授权委托书及授权代理人有效身份证明（扫描件加盖公章）（格式见</w:t>
      </w:r>
      <w:r>
        <w:rPr>
          <w:rFonts w:hint="eastAsia" w:ascii="仿宋" w:hAnsi="仿宋" w:eastAsia="仿宋" w:cs="仿宋"/>
          <w:color w:val="auto"/>
          <w:kern w:val="0"/>
          <w:sz w:val="24"/>
          <w:highlight w:val="none"/>
          <w:lang w:val="en-US" w:eastAsia="zh-CN"/>
        </w:rPr>
        <w:t>第六章</w:t>
      </w:r>
      <w:r>
        <w:rPr>
          <w:rFonts w:hint="eastAsia" w:ascii="仿宋" w:hAnsi="仿宋" w:eastAsia="仿宋" w:cs="仿宋"/>
          <w:color w:val="auto"/>
          <w:kern w:val="0"/>
          <w:sz w:val="24"/>
          <w:highlight w:val="none"/>
        </w:rPr>
        <w:t>）；</w:t>
      </w:r>
    </w:p>
    <w:p w14:paraId="0CC54367">
      <w:pPr>
        <w:numPr>
          <w:ilvl w:val="255"/>
          <w:numId w:val="0"/>
        </w:numPr>
        <w:tabs>
          <w:tab w:val="left" w:pos="420"/>
        </w:tabs>
        <w:spacing w:line="360" w:lineRule="auto"/>
        <w:ind w:left="41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6）授权代理人最近三个月中任意一个月社保缴纳证明文件扫描件加盖公章；</w:t>
      </w:r>
    </w:p>
    <w:p w14:paraId="39656884">
      <w:pPr>
        <w:numPr>
          <w:ilvl w:val="255"/>
          <w:numId w:val="0"/>
        </w:numPr>
        <w:tabs>
          <w:tab w:val="left" w:pos="420"/>
        </w:tabs>
        <w:spacing w:line="360" w:lineRule="auto"/>
        <w:ind w:left="41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7）符合参加政府采购活动应当具备的一般条件的承诺函（格式见</w:t>
      </w:r>
      <w:r>
        <w:rPr>
          <w:rFonts w:hint="eastAsia" w:ascii="仿宋" w:hAnsi="仿宋" w:eastAsia="仿宋" w:cs="仿宋"/>
          <w:color w:val="auto"/>
          <w:kern w:val="0"/>
          <w:sz w:val="24"/>
          <w:highlight w:val="none"/>
          <w:lang w:val="en-US" w:eastAsia="zh-CN"/>
        </w:rPr>
        <w:t>第六章</w:t>
      </w:r>
      <w:r>
        <w:rPr>
          <w:rFonts w:hint="eastAsia" w:ascii="仿宋" w:hAnsi="仿宋" w:eastAsia="仿宋" w:cs="仿宋"/>
          <w:color w:val="auto"/>
          <w:kern w:val="0"/>
          <w:sz w:val="24"/>
          <w:highlight w:val="none"/>
        </w:rPr>
        <w:t>）；</w:t>
      </w:r>
    </w:p>
    <w:p w14:paraId="7427FE7F">
      <w:pPr>
        <w:numPr>
          <w:ilvl w:val="255"/>
          <w:numId w:val="0"/>
        </w:numPr>
        <w:tabs>
          <w:tab w:val="left" w:pos="420"/>
        </w:tabs>
        <w:spacing w:line="360" w:lineRule="auto"/>
        <w:ind w:left="41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8）信用承诺书（格式见</w:t>
      </w:r>
      <w:r>
        <w:rPr>
          <w:rFonts w:hint="eastAsia" w:ascii="仿宋" w:hAnsi="仿宋" w:eastAsia="仿宋" w:cs="仿宋"/>
          <w:color w:val="auto"/>
          <w:kern w:val="0"/>
          <w:sz w:val="24"/>
          <w:highlight w:val="none"/>
          <w:lang w:val="en-US" w:eastAsia="zh-CN"/>
        </w:rPr>
        <w:t>第六章</w:t>
      </w:r>
      <w:r>
        <w:rPr>
          <w:rFonts w:hint="eastAsia" w:ascii="仿宋" w:hAnsi="仿宋" w:eastAsia="仿宋" w:cs="仿宋"/>
          <w:color w:val="auto"/>
          <w:kern w:val="0"/>
          <w:sz w:val="24"/>
          <w:highlight w:val="none"/>
        </w:rPr>
        <w:t xml:space="preserve">）； </w:t>
      </w:r>
    </w:p>
    <w:p w14:paraId="4981C074">
      <w:pPr>
        <w:numPr>
          <w:ilvl w:val="255"/>
          <w:numId w:val="0"/>
        </w:numPr>
        <w:tabs>
          <w:tab w:val="left" w:pos="420"/>
        </w:tabs>
        <w:spacing w:line="360" w:lineRule="auto"/>
        <w:ind w:left="41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9）中小企业声明函或残疾人福利性单位声明函或监狱企业声明函（格式见</w:t>
      </w:r>
      <w:r>
        <w:rPr>
          <w:rFonts w:hint="eastAsia" w:ascii="仿宋" w:hAnsi="仿宋" w:eastAsia="仿宋" w:cs="仿宋"/>
          <w:color w:val="auto"/>
          <w:kern w:val="0"/>
          <w:sz w:val="24"/>
          <w:highlight w:val="none"/>
          <w:lang w:val="en-US" w:eastAsia="zh-CN"/>
        </w:rPr>
        <w:t>第六章</w:t>
      </w:r>
      <w:r>
        <w:rPr>
          <w:rFonts w:hint="eastAsia" w:ascii="仿宋" w:hAnsi="仿宋" w:eastAsia="仿宋" w:cs="仿宋"/>
          <w:color w:val="auto"/>
          <w:kern w:val="0"/>
          <w:sz w:val="24"/>
          <w:highlight w:val="none"/>
        </w:rPr>
        <w:t xml:space="preserve">）； </w:t>
      </w:r>
    </w:p>
    <w:p w14:paraId="15F69189">
      <w:pPr>
        <w:numPr>
          <w:ilvl w:val="255"/>
          <w:numId w:val="0"/>
        </w:numPr>
        <w:tabs>
          <w:tab w:val="left" w:pos="420"/>
        </w:tabs>
        <w:spacing w:line="360" w:lineRule="auto"/>
        <w:ind w:left="41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10)</w:t>
      </w:r>
      <w:r>
        <w:rPr>
          <w:rFonts w:hint="eastAsia" w:ascii="仿宋" w:hAnsi="仿宋" w:eastAsia="仿宋" w:cs="仿宋"/>
          <w:color w:val="auto"/>
          <w:kern w:val="0"/>
          <w:sz w:val="24"/>
          <w:highlight w:val="none"/>
        </w:rPr>
        <w:t xml:space="preserve"> 供应商认为需要提供的其他资料和文件。</w:t>
      </w:r>
    </w:p>
    <w:p w14:paraId="21EB1FAB">
      <w:pPr>
        <w:tabs>
          <w:tab w:val="left" w:pos="844"/>
        </w:tabs>
        <w:autoSpaceDE w:val="0"/>
        <w:autoSpaceDN w:val="0"/>
        <w:snapToGrid w:val="0"/>
        <w:spacing w:line="360" w:lineRule="auto"/>
        <w:ind w:firstLine="482" w:firstLineChars="200"/>
        <w:textAlignment w:val="bottom"/>
        <w:rPr>
          <w:rFonts w:hint="eastAsia" w:ascii="仿宋" w:hAnsi="仿宋" w:eastAsia="仿宋" w:cs="仿宋"/>
          <w:b/>
          <w:color w:val="auto"/>
          <w:sz w:val="24"/>
          <w:highlight w:val="none"/>
          <w:u w:val="single"/>
        </w:rPr>
      </w:pPr>
      <w:r>
        <w:rPr>
          <w:rFonts w:hint="eastAsia" w:ascii="仿宋" w:hAnsi="仿宋" w:eastAsia="仿宋" w:cs="仿宋"/>
          <w:b/>
          <w:color w:val="auto"/>
          <w:sz w:val="24"/>
          <w:highlight w:val="none"/>
          <w:u w:val="single"/>
        </w:rPr>
        <w:t>3.</w:t>
      </w:r>
      <w:r>
        <w:rPr>
          <w:rFonts w:hint="eastAsia" w:ascii="仿宋" w:hAnsi="仿宋" w:eastAsia="仿宋" w:cs="仿宋"/>
          <w:b/>
          <w:color w:val="auto"/>
          <w:sz w:val="24"/>
          <w:highlight w:val="none"/>
          <w:u w:val="single"/>
          <w:lang w:val="en-US" w:eastAsia="zh-CN"/>
        </w:rPr>
        <w:t>2</w:t>
      </w:r>
      <w:r>
        <w:rPr>
          <w:rFonts w:hint="eastAsia" w:ascii="仿宋" w:hAnsi="仿宋" w:eastAsia="仿宋" w:cs="仿宋"/>
          <w:b/>
          <w:color w:val="auto"/>
          <w:sz w:val="24"/>
          <w:highlight w:val="none"/>
          <w:u w:val="single"/>
        </w:rPr>
        <w:t xml:space="preserve"> 技术商务文件 </w:t>
      </w:r>
    </w:p>
    <w:p w14:paraId="249997C7">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b w:val="0"/>
          <w:bCs w:val="0"/>
          <w:color w:val="auto"/>
          <w:kern w:val="0"/>
          <w:sz w:val="24"/>
          <w:szCs w:val="24"/>
          <w:highlight w:val="none"/>
          <w:lang w:eastAsia="zh-CN"/>
        </w:rPr>
      </w:pPr>
      <w:r>
        <w:rPr>
          <w:rFonts w:hint="eastAsia" w:ascii="仿宋" w:hAnsi="仿宋" w:eastAsia="仿宋" w:cs="仿宋"/>
          <w:b w:val="0"/>
          <w:bCs w:val="0"/>
          <w:color w:val="auto"/>
          <w:kern w:val="0"/>
          <w:sz w:val="24"/>
          <w:szCs w:val="24"/>
          <w:highlight w:val="none"/>
          <w:lang w:val="en-US" w:eastAsia="zh-CN"/>
        </w:rPr>
        <w:t>1）</w:t>
      </w:r>
      <w:r>
        <w:rPr>
          <w:rFonts w:hint="eastAsia" w:ascii="仿宋" w:hAnsi="仿宋" w:eastAsia="仿宋" w:cs="仿宋"/>
          <w:b w:val="0"/>
          <w:bCs w:val="0"/>
          <w:color w:val="auto"/>
          <w:kern w:val="0"/>
          <w:sz w:val="24"/>
          <w:szCs w:val="24"/>
          <w:highlight w:val="none"/>
        </w:rPr>
        <w:t>供应商自评分索引表</w:t>
      </w:r>
      <w:r>
        <w:rPr>
          <w:rFonts w:hint="eastAsia" w:ascii="仿宋" w:hAnsi="仿宋" w:eastAsia="仿宋" w:cs="仿宋"/>
          <w:bCs/>
          <w:color w:val="auto"/>
          <w:sz w:val="24"/>
          <w:highlight w:val="none"/>
        </w:rPr>
        <w:t>（格式见</w:t>
      </w:r>
      <w:r>
        <w:rPr>
          <w:rFonts w:hint="eastAsia" w:ascii="仿宋" w:hAnsi="仿宋" w:eastAsia="仿宋" w:cs="仿宋"/>
          <w:color w:val="auto"/>
          <w:kern w:val="0"/>
          <w:sz w:val="24"/>
          <w:highlight w:val="none"/>
          <w:lang w:val="en-US" w:eastAsia="zh-CN"/>
        </w:rPr>
        <w:t>第六章</w:t>
      </w:r>
      <w:r>
        <w:rPr>
          <w:rFonts w:hint="eastAsia" w:ascii="仿宋" w:hAnsi="仿宋" w:eastAsia="仿宋" w:cs="仿宋"/>
          <w:bCs/>
          <w:color w:val="auto"/>
          <w:sz w:val="24"/>
          <w:highlight w:val="none"/>
        </w:rPr>
        <w:t>）</w:t>
      </w:r>
      <w:r>
        <w:rPr>
          <w:rFonts w:hint="eastAsia" w:ascii="仿宋" w:hAnsi="仿宋" w:eastAsia="仿宋" w:cs="仿宋"/>
          <w:b w:val="0"/>
          <w:bCs w:val="0"/>
          <w:color w:val="auto"/>
          <w:kern w:val="0"/>
          <w:sz w:val="24"/>
          <w:szCs w:val="24"/>
          <w:highlight w:val="none"/>
          <w:lang w:eastAsia="zh-CN"/>
        </w:rPr>
        <w:t>；</w:t>
      </w:r>
    </w:p>
    <w:p w14:paraId="429EB91A">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2）</w:t>
      </w:r>
      <w:r>
        <w:rPr>
          <w:rFonts w:hint="eastAsia" w:ascii="仿宋" w:hAnsi="仿宋" w:eastAsia="仿宋" w:cs="仿宋"/>
          <w:bCs/>
          <w:color w:val="auto"/>
          <w:sz w:val="24"/>
          <w:highlight w:val="none"/>
        </w:rPr>
        <w:t>供应商情况一览表（格式见</w:t>
      </w:r>
      <w:r>
        <w:rPr>
          <w:rFonts w:hint="eastAsia" w:ascii="仿宋" w:hAnsi="仿宋" w:eastAsia="仿宋" w:cs="仿宋"/>
          <w:color w:val="auto"/>
          <w:kern w:val="0"/>
          <w:sz w:val="24"/>
          <w:highlight w:val="none"/>
          <w:lang w:val="en-US" w:eastAsia="zh-CN"/>
        </w:rPr>
        <w:t>第六章</w:t>
      </w:r>
      <w:r>
        <w:rPr>
          <w:rFonts w:hint="eastAsia" w:ascii="仿宋" w:hAnsi="仿宋" w:eastAsia="仿宋" w:cs="仿宋"/>
          <w:bCs/>
          <w:color w:val="auto"/>
          <w:sz w:val="24"/>
          <w:highlight w:val="none"/>
        </w:rPr>
        <w:t>）；</w:t>
      </w:r>
    </w:p>
    <w:p w14:paraId="39A7A1E7">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3）项目总体理解；</w:t>
      </w:r>
    </w:p>
    <w:p w14:paraId="1F875E15">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4）项目实施方案；</w:t>
      </w:r>
    </w:p>
    <w:p w14:paraId="389E95C8">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5）服务保障措施；</w:t>
      </w:r>
    </w:p>
    <w:p w14:paraId="035E89F2">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6）项目管理制度建设;</w:t>
      </w:r>
    </w:p>
    <w:p w14:paraId="2DA7C209">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7）人员培训；</w:t>
      </w:r>
    </w:p>
    <w:p w14:paraId="209FE74D">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8）合理化建议;</w:t>
      </w:r>
    </w:p>
    <w:p w14:paraId="0B1EF53B">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i w:val="0"/>
          <w:iCs w:val="0"/>
          <w:color w:val="auto"/>
          <w:kern w:val="0"/>
          <w:sz w:val="24"/>
          <w:szCs w:val="24"/>
          <w:highlight w:val="none"/>
          <w:u w:val="none"/>
          <w:lang w:val="en-US" w:eastAsia="zh-CN" w:bidi="ar"/>
        </w:rPr>
        <w:t>9）</w:t>
      </w:r>
      <w:r>
        <w:rPr>
          <w:rFonts w:hint="eastAsia" w:ascii="仿宋" w:hAnsi="仿宋" w:eastAsia="仿宋" w:cs="仿宋"/>
          <w:bCs/>
          <w:color w:val="auto"/>
          <w:sz w:val="24"/>
          <w:highlight w:val="none"/>
        </w:rPr>
        <w:t>商务响应表（格式见</w:t>
      </w:r>
      <w:r>
        <w:rPr>
          <w:rFonts w:hint="eastAsia" w:ascii="仿宋" w:hAnsi="仿宋" w:eastAsia="仿宋" w:cs="仿宋"/>
          <w:color w:val="auto"/>
          <w:kern w:val="0"/>
          <w:sz w:val="24"/>
          <w:highlight w:val="none"/>
          <w:lang w:val="en-US" w:eastAsia="zh-CN"/>
        </w:rPr>
        <w:t>第六章</w:t>
      </w:r>
      <w:r>
        <w:rPr>
          <w:rFonts w:hint="eastAsia" w:ascii="仿宋" w:hAnsi="仿宋" w:eastAsia="仿宋" w:cs="仿宋"/>
          <w:bCs/>
          <w:color w:val="auto"/>
          <w:sz w:val="24"/>
          <w:highlight w:val="none"/>
        </w:rPr>
        <w:t>）；</w:t>
      </w:r>
    </w:p>
    <w:p w14:paraId="2BA092FB">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10）</w:t>
      </w:r>
      <w:r>
        <w:rPr>
          <w:rFonts w:hint="eastAsia" w:ascii="仿宋" w:hAnsi="仿宋" w:eastAsia="仿宋" w:cs="仿宋"/>
          <w:color w:val="auto"/>
          <w:sz w:val="24"/>
          <w:szCs w:val="24"/>
          <w:highlight w:val="none"/>
          <w:lang w:val="en-US" w:eastAsia="zh-CN"/>
        </w:rPr>
        <w:t>企业业绩</w:t>
      </w:r>
      <w:r>
        <w:rPr>
          <w:rFonts w:hint="eastAsia" w:ascii="仿宋" w:hAnsi="仿宋" w:eastAsia="仿宋" w:cs="仿宋"/>
          <w:bCs/>
          <w:color w:val="auto"/>
          <w:sz w:val="24"/>
          <w:highlight w:val="none"/>
        </w:rPr>
        <w:t>（格式见</w:t>
      </w:r>
      <w:r>
        <w:rPr>
          <w:rFonts w:hint="eastAsia" w:ascii="仿宋" w:hAnsi="仿宋" w:eastAsia="仿宋" w:cs="仿宋"/>
          <w:color w:val="auto"/>
          <w:kern w:val="0"/>
          <w:sz w:val="24"/>
          <w:highlight w:val="none"/>
          <w:lang w:val="en-US" w:eastAsia="zh-CN"/>
        </w:rPr>
        <w:t>第六章</w:t>
      </w:r>
      <w:r>
        <w:rPr>
          <w:rFonts w:hint="eastAsia" w:ascii="仿宋" w:hAnsi="仿宋" w:eastAsia="仿宋" w:cs="仿宋"/>
          <w:bCs/>
          <w:color w:val="auto"/>
          <w:sz w:val="24"/>
          <w:highlight w:val="none"/>
        </w:rPr>
        <w:t>）；</w:t>
      </w:r>
    </w:p>
    <w:p w14:paraId="73D9D66F">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11）企业</w:t>
      </w:r>
      <w:r>
        <w:rPr>
          <w:rFonts w:hint="eastAsia" w:ascii="仿宋" w:hAnsi="仿宋" w:eastAsia="仿宋" w:cs="仿宋"/>
          <w:i w:val="0"/>
          <w:iCs w:val="0"/>
          <w:color w:val="auto"/>
          <w:kern w:val="0"/>
          <w:sz w:val="24"/>
          <w:szCs w:val="24"/>
          <w:highlight w:val="none"/>
          <w:u w:val="none"/>
          <w:lang w:val="en-US" w:eastAsia="zh-CN" w:bidi="ar"/>
        </w:rPr>
        <w:t>认证</w:t>
      </w:r>
      <w:r>
        <w:rPr>
          <w:rFonts w:hint="eastAsia" w:ascii="仿宋" w:hAnsi="仿宋" w:eastAsia="仿宋" w:cs="仿宋"/>
          <w:bCs/>
          <w:color w:val="auto"/>
          <w:sz w:val="24"/>
          <w:highlight w:val="none"/>
        </w:rPr>
        <w:t>；</w:t>
      </w:r>
    </w:p>
    <w:p w14:paraId="3C10E974">
      <w:pPr>
        <w:numPr>
          <w:ilvl w:val="255"/>
          <w:numId w:val="0"/>
        </w:numPr>
        <w:tabs>
          <w:tab w:val="left" w:pos="420"/>
        </w:tabs>
        <w:autoSpaceDE/>
        <w:autoSpaceDN/>
        <w:adjustRightInd/>
        <w:snapToGrid/>
        <w:spacing w:line="360" w:lineRule="auto"/>
        <w:ind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12）</w:t>
      </w:r>
      <w:r>
        <w:rPr>
          <w:rFonts w:hint="eastAsia" w:ascii="仿宋" w:hAnsi="仿宋" w:eastAsia="仿宋" w:cs="仿宋"/>
          <w:i w:val="0"/>
          <w:iCs w:val="0"/>
          <w:color w:val="auto"/>
          <w:kern w:val="0"/>
          <w:sz w:val="24"/>
          <w:szCs w:val="24"/>
          <w:highlight w:val="none"/>
          <w:u w:val="none"/>
          <w:lang w:val="en-US" w:eastAsia="zh-CN" w:bidi="ar"/>
        </w:rPr>
        <w:t>人员配置</w:t>
      </w:r>
      <w:r>
        <w:rPr>
          <w:rFonts w:hint="eastAsia" w:ascii="仿宋" w:hAnsi="仿宋" w:eastAsia="仿宋" w:cs="仿宋"/>
          <w:bCs/>
          <w:color w:val="auto"/>
          <w:sz w:val="24"/>
          <w:highlight w:val="none"/>
        </w:rPr>
        <w:t>（格式见</w:t>
      </w:r>
      <w:r>
        <w:rPr>
          <w:rFonts w:hint="eastAsia" w:ascii="仿宋" w:hAnsi="仿宋" w:eastAsia="仿宋" w:cs="仿宋"/>
          <w:color w:val="auto"/>
          <w:kern w:val="0"/>
          <w:sz w:val="24"/>
          <w:highlight w:val="none"/>
          <w:lang w:val="en-US" w:eastAsia="zh-CN"/>
        </w:rPr>
        <w:t>第六章</w:t>
      </w:r>
      <w:r>
        <w:rPr>
          <w:rFonts w:hint="eastAsia" w:ascii="仿宋" w:hAnsi="仿宋" w:eastAsia="仿宋" w:cs="仿宋"/>
          <w:bCs/>
          <w:color w:val="auto"/>
          <w:sz w:val="24"/>
          <w:highlight w:val="none"/>
        </w:rPr>
        <w:t>）；</w:t>
      </w:r>
    </w:p>
    <w:p w14:paraId="0FE81CCD">
      <w:pPr>
        <w:numPr>
          <w:ilvl w:val="255"/>
          <w:numId w:val="0"/>
        </w:numPr>
        <w:tabs>
          <w:tab w:val="left" w:pos="420"/>
        </w:tabs>
        <w:autoSpaceDE/>
        <w:autoSpaceDN/>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bCs/>
          <w:color w:val="auto"/>
          <w:sz w:val="24"/>
          <w:highlight w:val="none"/>
          <w:lang w:val="en-US" w:eastAsia="zh-CN"/>
        </w:rPr>
        <w:t>13）</w:t>
      </w:r>
      <w:r>
        <w:rPr>
          <w:rFonts w:hint="eastAsia" w:ascii="仿宋" w:hAnsi="仿宋" w:eastAsia="仿宋" w:cs="仿宋"/>
          <w:i w:val="0"/>
          <w:iCs w:val="0"/>
          <w:color w:val="auto"/>
          <w:kern w:val="0"/>
          <w:sz w:val="24"/>
          <w:szCs w:val="24"/>
          <w:highlight w:val="none"/>
          <w:u w:val="none"/>
          <w:lang w:val="en-US" w:eastAsia="zh-CN" w:bidi="ar"/>
        </w:rPr>
        <w:t>供应商认为应该说明的其他文件和资料。</w:t>
      </w:r>
    </w:p>
    <w:p w14:paraId="16044D86">
      <w:pPr>
        <w:autoSpaceDE w:val="0"/>
        <w:autoSpaceDN w:val="0"/>
        <w:adjustRightInd w:val="0"/>
        <w:snapToGrid w:val="0"/>
        <w:spacing w:line="360" w:lineRule="auto"/>
        <w:ind w:firstLine="487" w:firstLineChars="202"/>
        <w:textAlignment w:val="bottom"/>
        <w:rPr>
          <w:rFonts w:hint="eastAsia" w:ascii="仿宋" w:hAnsi="仿宋" w:eastAsia="仿宋" w:cs="仿宋"/>
          <w:b/>
          <w:color w:val="auto"/>
          <w:sz w:val="24"/>
          <w:highlight w:val="none"/>
          <w:u w:val="single"/>
        </w:rPr>
      </w:pPr>
      <w:r>
        <w:rPr>
          <w:rFonts w:hint="eastAsia" w:ascii="仿宋" w:hAnsi="仿宋" w:eastAsia="仿宋" w:cs="仿宋"/>
          <w:b/>
          <w:color w:val="auto"/>
          <w:sz w:val="24"/>
          <w:highlight w:val="none"/>
          <w:u w:val="single"/>
        </w:rPr>
        <w:t>3.</w:t>
      </w:r>
      <w:r>
        <w:rPr>
          <w:rFonts w:hint="eastAsia" w:ascii="仿宋" w:hAnsi="仿宋" w:eastAsia="仿宋" w:cs="仿宋"/>
          <w:b/>
          <w:color w:val="auto"/>
          <w:sz w:val="24"/>
          <w:highlight w:val="none"/>
          <w:u w:val="single"/>
          <w:lang w:val="en-US" w:eastAsia="zh-CN"/>
        </w:rPr>
        <w:t>3</w:t>
      </w:r>
      <w:r>
        <w:rPr>
          <w:rFonts w:hint="eastAsia" w:ascii="仿宋" w:hAnsi="仿宋" w:eastAsia="仿宋" w:cs="仿宋"/>
          <w:b/>
          <w:color w:val="auto"/>
          <w:sz w:val="24"/>
          <w:highlight w:val="none"/>
          <w:u w:val="single"/>
        </w:rPr>
        <w:t xml:space="preserve"> 报价文件</w:t>
      </w:r>
    </w:p>
    <w:p w14:paraId="058272AE">
      <w:pPr>
        <w:numPr>
          <w:ilvl w:val="0"/>
          <w:numId w:val="0"/>
        </w:numPr>
        <w:autoSpaceDE w:val="0"/>
        <w:autoSpaceDN w:val="0"/>
        <w:snapToGrid w:val="0"/>
        <w:spacing w:line="360" w:lineRule="auto"/>
        <w:ind w:firstLine="480" w:firstLineChars="200"/>
        <w:textAlignment w:val="bottom"/>
        <w:rPr>
          <w:rFonts w:hint="eastAsia" w:ascii="仿宋" w:hAnsi="仿宋" w:eastAsia="仿宋" w:cs="仿宋"/>
          <w:bCs/>
          <w:color w:val="auto"/>
          <w:sz w:val="24"/>
          <w:highlight w:val="none"/>
        </w:rPr>
      </w:pPr>
      <w:r>
        <w:rPr>
          <w:rFonts w:hint="default" w:ascii="仿宋" w:hAnsi="仿宋" w:eastAsia="仿宋" w:cs="仿宋"/>
          <w:bCs/>
          <w:color w:val="auto"/>
          <w:kern w:val="2"/>
          <w:sz w:val="24"/>
          <w:szCs w:val="24"/>
          <w:highlight w:val="none"/>
          <w:lang w:val="en-US" w:eastAsia="zh-CN" w:bidi="ar-SA"/>
        </w:rPr>
        <w:t>1)</w:t>
      </w:r>
      <w:r>
        <w:rPr>
          <w:rFonts w:hint="eastAsia" w:ascii="仿宋" w:hAnsi="仿宋" w:eastAsia="仿宋" w:cs="仿宋"/>
          <w:bCs/>
          <w:color w:val="auto"/>
          <w:sz w:val="24"/>
          <w:highlight w:val="none"/>
        </w:rPr>
        <w:t>磋商申请函（格式见</w:t>
      </w:r>
      <w:r>
        <w:rPr>
          <w:rFonts w:hint="eastAsia" w:ascii="仿宋" w:hAnsi="仿宋" w:eastAsia="仿宋" w:cs="仿宋"/>
          <w:color w:val="auto"/>
          <w:kern w:val="0"/>
          <w:sz w:val="24"/>
          <w:highlight w:val="none"/>
          <w:lang w:val="en-US" w:eastAsia="zh-CN"/>
        </w:rPr>
        <w:t>第六章</w:t>
      </w:r>
      <w:r>
        <w:rPr>
          <w:rFonts w:hint="eastAsia" w:ascii="仿宋" w:hAnsi="仿宋" w:eastAsia="仿宋" w:cs="仿宋"/>
          <w:bCs/>
          <w:color w:val="auto"/>
          <w:sz w:val="24"/>
          <w:highlight w:val="none"/>
        </w:rPr>
        <w:t>）；</w:t>
      </w:r>
    </w:p>
    <w:p w14:paraId="497B0DC9">
      <w:pPr>
        <w:numPr>
          <w:ilvl w:val="0"/>
          <w:numId w:val="0"/>
        </w:numPr>
        <w:snapToGrid w:val="0"/>
        <w:spacing w:line="360" w:lineRule="auto"/>
        <w:ind w:left="845" w:hanging="425"/>
        <w:textAlignment w:val="bottom"/>
        <w:rPr>
          <w:rFonts w:hint="eastAsia" w:ascii="仿宋" w:hAnsi="仿宋" w:eastAsia="仿宋" w:cs="仿宋"/>
          <w:bCs/>
          <w:color w:val="auto"/>
          <w:sz w:val="24"/>
          <w:highlight w:val="none"/>
        </w:rPr>
      </w:pPr>
      <w:r>
        <w:rPr>
          <w:rFonts w:hint="default" w:ascii="仿宋" w:hAnsi="仿宋" w:eastAsia="仿宋" w:cs="仿宋"/>
          <w:bCs/>
          <w:color w:val="auto"/>
          <w:kern w:val="2"/>
          <w:sz w:val="24"/>
          <w:szCs w:val="24"/>
          <w:highlight w:val="none"/>
          <w:lang w:val="en-US" w:eastAsia="zh-CN" w:bidi="ar-SA"/>
        </w:rPr>
        <w:t>2)</w:t>
      </w:r>
      <w:r>
        <w:rPr>
          <w:rFonts w:hint="eastAsia" w:ascii="仿宋" w:hAnsi="仿宋" w:eastAsia="仿宋" w:cs="仿宋"/>
          <w:bCs/>
          <w:color w:val="auto"/>
          <w:sz w:val="24"/>
          <w:highlight w:val="none"/>
          <w:lang w:val="en-US" w:eastAsia="zh-CN"/>
        </w:rPr>
        <w:t>首次</w:t>
      </w:r>
      <w:r>
        <w:rPr>
          <w:rFonts w:hint="eastAsia" w:ascii="仿宋" w:hAnsi="仿宋" w:eastAsia="仿宋" w:cs="仿宋"/>
          <w:bCs/>
          <w:color w:val="auto"/>
          <w:sz w:val="24"/>
          <w:highlight w:val="none"/>
        </w:rPr>
        <w:t>报价表（格式见</w:t>
      </w:r>
      <w:r>
        <w:rPr>
          <w:rFonts w:hint="eastAsia" w:ascii="仿宋" w:hAnsi="仿宋" w:eastAsia="仿宋" w:cs="仿宋"/>
          <w:bCs/>
          <w:color w:val="auto"/>
          <w:kern w:val="2"/>
          <w:sz w:val="24"/>
          <w:highlight w:val="none"/>
          <w:lang w:val="en-US" w:eastAsia="zh-CN"/>
        </w:rPr>
        <w:t>第六章</w:t>
      </w:r>
      <w:r>
        <w:rPr>
          <w:rFonts w:hint="eastAsia" w:ascii="仿宋" w:hAnsi="仿宋" w:eastAsia="仿宋" w:cs="仿宋"/>
          <w:bCs/>
          <w:color w:val="auto"/>
          <w:sz w:val="24"/>
          <w:highlight w:val="none"/>
        </w:rPr>
        <w:t>）；</w:t>
      </w:r>
    </w:p>
    <w:p w14:paraId="132CFA10">
      <w:pPr>
        <w:numPr>
          <w:ilvl w:val="0"/>
          <w:numId w:val="0"/>
        </w:numPr>
        <w:autoSpaceDE w:val="0"/>
        <w:autoSpaceDN w:val="0"/>
        <w:snapToGrid w:val="0"/>
        <w:spacing w:line="360" w:lineRule="auto"/>
        <w:ind w:left="845" w:hanging="425"/>
        <w:textAlignment w:val="bottom"/>
        <w:rPr>
          <w:rFonts w:hint="eastAsia" w:ascii="仿宋" w:hAnsi="仿宋" w:eastAsia="仿宋" w:cs="仿宋"/>
          <w:bCs/>
          <w:color w:val="auto"/>
          <w:sz w:val="24"/>
          <w:highlight w:val="none"/>
          <w:lang w:eastAsia="zh-CN"/>
        </w:rPr>
      </w:pPr>
      <w:r>
        <w:rPr>
          <w:rFonts w:hint="eastAsia" w:ascii="仿宋" w:hAnsi="仿宋" w:eastAsia="仿宋" w:cs="仿宋"/>
          <w:bCs/>
          <w:color w:val="auto"/>
          <w:kern w:val="2"/>
          <w:sz w:val="24"/>
          <w:szCs w:val="24"/>
          <w:highlight w:val="none"/>
          <w:lang w:val="en-US" w:eastAsia="zh-CN" w:bidi="ar-SA"/>
        </w:rPr>
        <w:t>3）</w:t>
      </w:r>
      <w:r>
        <w:rPr>
          <w:rFonts w:hint="eastAsia" w:ascii="仿宋" w:hAnsi="仿宋" w:eastAsia="仿宋" w:cs="仿宋"/>
          <w:b w:val="0"/>
          <w:bCs/>
          <w:color w:val="auto"/>
          <w:sz w:val="24"/>
          <w:szCs w:val="24"/>
          <w:highlight w:val="none"/>
        </w:rPr>
        <w:t>磋商代理服务费承诺函</w:t>
      </w:r>
      <w:r>
        <w:rPr>
          <w:rFonts w:hint="eastAsia" w:ascii="仿宋" w:hAnsi="仿宋" w:eastAsia="仿宋" w:cs="仿宋"/>
          <w:bCs/>
          <w:color w:val="auto"/>
          <w:sz w:val="24"/>
          <w:highlight w:val="none"/>
        </w:rPr>
        <w:t>（格式见</w:t>
      </w:r>
      <w:r>
        <w:rPr>
          <w:rFonts w:hint="eastAsia" w:ascii="仿宋" w:hAnsi="仿宋" w:eastAsia="仿宋" w:cs="仿宋"/>
          <w:bCs/>
          <w:color w:val="auto"/>
          <w:kern w:val="2"/>
          <w:sz w:val="24"/>
          <w:highlight w:val="none"/>
          <w:lang w:val="en-US" w:eastAsia="zh-CN"/>
        </w:rPr>
        <w:t>第六章</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eastAsia="zh-CN"/>
        </w:rPr>
        <w:t>；</w:t>
      </w:r>
    </w:p>
    <w:p w14:paraId="56909C2D">
      <w:pPr>
        <w:numPr>
          <w:ilvl w:val="0"/>
          <w:numId w:val="0"/>
        </w:numPr>
        <w:autoSpaceDE w:val="0"/>
        <w:autoSpaceDN w:val="0"/>
        <w:snapToGrid w:val="0"/>
        <w:spacing w:line="360" w:lineRule="auto"/>
        <w:ind w:left="845" w:hanging="425"/>
        <w:textAlignment w:val="bottom"/>
        <w:rPr>
          <w:rFonts w:hint="eastAsia" w:ascii="仿宋" w:hAnsi="仿宋" w:eastAsia="仿宋" w:cs="仿宋"/>
          <w:color w:val="auto"/>
          <w:sz w:val="24"/>
          <w:highlight w:val="none"/>
        </w:rPr>
      </w:pPr>
      <w:r>
        <w:rPr>
          <w:rFonts w:hint="eastAsia" w:ascii="仿宋" w:hAnsi="仿宋" w:eastAsia="仿宋" w:cs="仿宋"/>
          <w:color w:val="auto"/>
          <w:kern w:val="2"/>
          <w:sz w:val="24"/>
          <w:szCs w:val="24"/>
          <w:highlight w:val="none"/>
          <w:lang w:val="en-US" w:eastAsia="zh-CN" w:bidi="ar-SA"/>
        </w:rPr>
        <w:t>4）</w:t>
      </w:r>
      <w:r>
        <w:rPr>
          <w:rFonts w:hint="eastAsia" w:ascii="仿宋" w:hAnsi="仿宋" w:eastAsia="仿宋" w:cs="仿宋"/>
          <w:color w:val="auto"/>
          <w:sz w:val="24"/>
          <w:highlight w:val="none"/>
        </w:rPr>
        <w:t>供应商认为应该说明的其他文件和资料。</w:t>
      </w:r>
    </w:p>
    <w:p w14:paraId="2D103271">
      <w:pPr>
        <w:spacing w:line="360" w:lineRule="auto"/>
        <w:jc w:val="left"/>
        <w:rPr>
          <w:rFonts w:hint="eastAsia" w:ascii="仿宋" w:hAnsi="仿宋" w:eastAsia="仿宋" w:cs="仿宋"/>
          <w:b/>
          <w:color w:val="auto"/>
          <w:sz w:val="24"/>
          <w:highlight w:val="none"/>
        </w:rPr>
      </w:pPr>
      <w:bookmarkStart w:id="40" w:name="_Toc21469"/>
      <w:bookmarkStart w:id="41" w:name="_Toc282640705"/>
      <w:bookmarkStart w:id="42" w:name="_Toc32090"/>
      <w:r>
        <w:rPr>
          <w:rFonts w:hint="eastAsia" w:ascii="仿宋" w:hAnsi="仿宋" w:eastAsia="仿宋" w:cs="仿宋"/>
          <w:b/>
          <w:color w:val="auto"/>
          <w:sz w:val="24"/>
          <w:highlight w:val="none"/>
        </w:rPr>
        <w:t>注：以上响应文件组成内容中的扫描件均须加盖供应商公章（或 CA 电子签章）。</w:t>
      </w:r>
    </w:p>
    <w:p w14:paraId="36EA8287">
      <w:pPr>
        <w:spacing w:line="360" w:lineRule="auto"/>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九、响应文件的签署和份数</w:t>
      </w:r>
      <w:bookmarkEnd w:id="40"/>
      <w:bookmarkEnd w:id="41"/>
      <w:bookmarkEnd w:id="42"/>
    </w:p>
    <w:p w14:paraId="5C0B9FBC">
      <w:pPr>
        <w:pStyle w:val="10"/>
        <w:spacing w:after="0" w:line="360" w:lineRule="auto"/>
        <w:ind w:firstLine="420"/>
        <w:rPr>
          <w:rFonts w:hint="eastAsia" w:ascii="仿宋" w:hAnsi="仿宋" w:eastAsia="仿宋" w:cs="仿宋"/>
          <w:color w:val="auto"/>
          <w:sz w:val="24"/>
          <w:highlight w:val="none"/>
        </w:rPr>
      </w:pPr>
      <w:bookmarkStart w:id="43" w:name="_Toc414960351"/>
      <w:bookmarkEnd w:id="43"/>
      <w:bookmarkStart w:id="44" w:name="_Toc282640706"/>
      <w:bookmarkEnd w:id="44"/>
      <w:r>
        <w:rPr>
          <w:rFonts w:hint="eastAsia" w:ascii="仿宋" w:hAnsi="仿宋" w:eastAsia="仿宋" w:cs="仿宋"/>
          <w:color w:val="auto"/>
          <w:sz w:val="24"/>
          <w:highlight w:val="none"/>
        </w:rPr>
        <w:t>1.本项目通过“政府采购云平台</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"http://www.zcygov.cn/" \h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rPr>
        <w:t>（www.zcygov.cn</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）”实行在线竞标响应（电子投标）。供应商应通过“政采云电子交易客户端”，并按照磋商文件和“政府采购云平台”的要求编制并加密响应文件。</w:t>
      </w:r>
    </w:p>
    <w:p w14:paraId="4B79796B">
      <w:pPr>
        <w:pStyle w:val="10"/>
        <w:spacing w:after="0" w:line="360" w:lineRule="auto"/>
        <w:ind w:firstLine="420"/>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2.供应商应当按照本章节 “响应文件组成”规定的内容及顺序在“政采云电子交易客户端”编制响应文件。</w:t>
      </w:r>
    </w:p>
    <w:p w14:paraId="505DE34A">
      <w:pPr>
        <w:pStyle w:val="10"/>
        <w:spacing w:after="0" w:line="360" w:lineRule="auto"/>
        <w:ind w:firstLine="420"/>
        <w:rPr>
          <w:rFonts w:hint="eastAsia" w:ascii="仿宋" w:hAnsi="仿宋" w:eastAsia="仿宋" w:cs="仿宋"/>
          <w:color w:val="auto"/>
          <w:sz w:val="24"/>
          <w:highlight w:val="none"/>
        </w:rPr>
      </w:pPr>
      <w:r>
        <w:rPr>
          <w:rFonts w:hint="eastAsia" w:ascii="仿宋" w:hAnsi="仿宋" w:eastAsia="仿宋" w:cs="仿宋"/>
          <w:color w:val="auto"/>
          <w:sz w:val="24"/>
          <w:highlight w:val="none"/>
        </w:rPr>
        <w:t>3.本文件中有提供格式的，供应商须参照格式进行编制（格式中要求提供相关证明材料的还需后附相关证明材料），并按格式要求在指定位置根据要求进行签章，否则视为未提供；本文件未提供格式的，请各竞标单位自行拟定格式，并加盖单位公章并由法定代表人或其授权代表签署（签字或盖章），否则视为未提供。</w:t>
      </w:r>
    </w:p>
    <w:p w14:paraId="76FFA4FA">
      <w:pPr>
        <w:pStyle w:val="10"/>
        <w:spacing w:after="0" w:line="360" w:lineRule="auto"/>
        <w:ind w:firstLine="420"/>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r>
        <w:rPr>
          <w:rFonts w:hint="eastAsia" w:ascii="仿宋" w:hAnsi="仿宋" w:eastAsia="仿宋" w:cs="仿宋"/>
          <w:bCs/>
          <w:color w:val="auto"/>
          <w:sz w:val="24"/>
          <w:highlight w:val="none"/>
        </w:rPr>
        <w:t>响应</w:t>
      </w:r>
      <w:r>
        <w:rPr>
          <w:rFonts w:hint="eastAsia" w:ascii="仿宋" w:hAnsi="仿宋" w:eastAsia="仿宋" w:cs="仿宋"/>
          <w:color w:val="auto"/>
          <w:sz w:val="24"/>
          <w:highlight w:val="none"/>
        </w:rPr>
        <w:t>文件内容不完整、编排混乱导致响应文件被误读、漏读或者查找不到相关内容的，是竞标供应商的责任。</w:t>
      </w:r>
    </w:p>
    <w:p w14:paraId="79D5149B">
      <w:pPr>
        <w:pStyle w:val="10"/>
        <w:spacing w:after="0" w:line="360" w:lineRule="auto"/>
        <w:ind w:firstLine="420"/>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r>
        <w:rPr>
          <w:rFonts w:hint="eastAsia" w:ascii="仿宋" w:hAnsi="仿宋" w:eastAsia="仿宋" w:cs="仿宋"/>
          <w:bCs/>
          <w:color w:val="auto"/>
          <w:sz w:val="24"/>
          <w:highlight w:val="none"/>
        </w:rPr>
        <w:t>响应</w:t>
      </w:r>
      <w:r>
        <w:rPr>
          <w:rFonts w:hint="eastAsia" w:ascii="仿宋" w:hAnsi="仿宋" w:eastAsia="仿宋" w:cs="仿宋"/>
          <w:color w:val="auto"/>
          <w:sz w:val="24"/>
          <w:highlight w:val="none"/>
        </w:rPr>
        <w:t>文件因字迹潦草或表达不清所引起的后果由竞标供应商负责。</w:t>
      </w:r>
    </w:p>
    <w:p w14:paraId="414A3E77">
      <w:pPr>
        <w:pStyle w:val="10"/>
        <w:spacing w:after="0" w:line="360" w:lineRule="auto"/>
        <w:ind w:firstLine="420"/>
        <w:rPr>
          <w:rFonts w:hint="eastAsia" w:ascii="仿宋" w:hAnsi="仿宋" w:eastAsia="仿宋" w:cs="仿宋"/>
          <w:color w:val="auto"/>
          <w:sz w:val="24"/>
          <w:highlight w:val="none"/>
        </w:rPr>
      </w:pPr>
      <w:r>
        <w:rPr>
          <w:rFonts w:hint="eastAsia" w:ascii="仿宋" w:hAnsi="仿宋" w:eastAsia="仿宋" w:cs="仿宋"/>
          <w:color w:val="auto"/>
          <w:sz w:val="24"/>
          <w:highlight w:val="none"/>
        </w:rPr>
        <w:t>6.竞标供应商没有按照要求提供全部资料，或者没有仔细阅读磋商文件，或者没有对磋商文件在各方面的要求作出实质性响应是竞标供应商的风险，由此造成的一切后果由竞标供应商自行承担。</w:t>
      </w:r>
    </w:p>
    <w:p w14:paraId="217DE61D">
      <w:pPr>
        <w:pStyle w:val="10"/>
        <w:spacing w:after="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r>
        <w:rPr>
          <w:rFonts w:hint="eastAsia" w:ascii="仿宋" w:hAnsi="仿宋" w:eastAsia="仿宋" w:cs="仿宋"/>
          <w:bCs/>
          <w:color w:val="auto"/>
          <w:sz w:val="24"/>
          <w:highlight w:val="none"/>
        </w:rPr>
        <w:t>响应</w:t>
      </w:r>
      <w:r>
        <w:rPr>
          <w:rFonts w:hint="eastAsia" w:ascii="仿宋" w:hAnsi="仿宋" w:eastAsia="仿宋" w:cs="仿宋"/>
          <w:color w:val="auto"/>
          <w:sz w:val="24"/>
          <w:highlight w:val="none"/>
        </w:rPr>
        <w:t>文件》应由竞标供应商法定代表人或其授权代表签字（或盖章），并加盖竞标供应商公章。</w:t>
      </w:r>
    </w:p>
    <w:p w14:paraId="09A4CD69">
      <w:pPr>
        <w:pStyle w:val="10"/>
        <w:spacing w:after="0"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十、</w:t>
      </w:r>
      <w:r>
        <w:rPr>
          <w:rFonts w:hint="eastAsia" w:ascii="仿宋" w:hAnsi="仿宋" w:eastAsia="仿宋" w:cs="仿宋"/>
          <w:b/>
          <w:color w:val="auto"/>
          <w:sz w:val="24"/>
          <w:highlight w:val="none"/>
        </w:rPr>
        <w:t>响应</w:t>
      </w:r>
      <w:r>
        <w:rPr>
          <w:rFonts w:hint="eastAsia" w:ascii="仿宋" w:hAnsi="仿宋" w:eastAsia="仿宋" w:cs="仿宋"/>
          <w:b/>
          <w:bCs/>
          <w:color w:val="auto"/>
          <w:sz w:val="24"/>
          <w:highlight w:val="none"/>
        </w:rPr>
        <w:t>电子文件的组成</w:t>
      </w:r>
    </w:p>
    <w:p w14:paraId="5593BDBF">
      <w:pPr>
        <w:pStyle w:val="10"/>
        <w:spacing w:after="0" w:line="360" w:lineRule="auto"/>
        <w:ind w:firstLine="420"/>
        <w:rPr>
          <w:rFonts w:hint="eastAsia" w:ascii="仿宋" w:hAnsi="仿宋" w:eastAsia="仿宋" w:cs="仿宋"/>
          <w:color w:val="auto"/>
          <w:sz w:val="24"/>
          <w:highlight w:val="none"/>
        </w:rPr>
      </w:pPr>
      <w:r>
        <w:rPr>
          <w:rFonts w:hint="eastAsia" w:ascii="仿宋" w:hAnsi="仿宋" w:eastAsia="仿宋" w:cs="仿宋"/>
          <w:color w:val="auto"/>
          <w:sz w:val="24"/>
          <w:highlight w:val="none"/>
        </w:rPr>
        <w:t>1.响应文件的形式：</w:t>
      </w:r>
    </w:p>
    <w:p w14:paraId="614A1CEE">
      <w:pPr>
        <w:pStyle w:val="10"/>
        <w:spacing w:after="0" w:line="360" w:lineRule="auto"/>
        <w:ind w:firstLine="420"/>
        <w:rPr>
          <w:rFonts w:hint="eastAsia" w:ascii="仿宋" w:hAnsi="仿宋" w:eastAsia="仿宋" w:cs="仿宋"/>
          <w:color w:val="auto"/>
          <w:sz w:val="24"/>
          <w:highlight w:val="none"/>
        </w:rPr>
      </w:pPr>
      <w:r>
        <w:rPr>
          <w:rFonts w:hint="eastAsia" w:ascii="仿宋" w:hAnsi="仿宋" w:eastAsia="仿宋" w:cs="仿宋"/>
          <w:color w:val="auto"/>
          <w:sz w:val="24"/>
          <w:highlight w:val="none"/>
        </w:rPr>
        <w:t>（1）电子响应文件（包括“电子加密响应文件”和“备份响应文件”，在响应文件编制完成后同时生成）</w:t>
      </w:r>
    </w:p>
    <w:p w14:paraId="30FC302B">
      <w:pPr>
        <w:pStyle w:val="10"/>
        <w:spacing w:after="0" w:line="360" w:lineRule="auto"/>
        <w:ind w:firstLine="420"/>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（2）“电子加密响应文件”是指通过“政采云电子交易客户端”完成响应文件编制后生成并加密的数据电文形式的响应文件。</w:t>
      </w:r>
    </w:p>
    <w:p w14:paraId="27BAFE93">
      <w:pPr>
        <w:pStyle w:val="10"/>
        <w:spacing w:after="0" w:line="360" w:lineRule="auto"/>
        <w:ind w:firstLine="420"/>
        <w:rPr>
          <w:rFonts w:hint="eastAsia" w:ascii="仿宋" w:hAnsi="仿宋" w:eastAsia="仿宋" w:cs="仿宋"/>
          <w:color w:val="auto"/>
          <w:sz w:val="24"/>
          <w:highlight w:val="none"/>
        </w:rPr>
      </w:pPr>
      <w:r>
        <w:rPr>
          <w:rFonts w:hint="eastAsia" w:ascii="仿宋" w:hAnsi="仿宋" w:eastAsia="仿宋" w:cs="仿宋"/>
          <w:color w:val="auto"/>
          <w:sz w:val="24"/>
          <w:highlight w:val="none"/>
        </w:rPr>
        <w:t>（3）“备份响应文件”是指与“电子加密响应文件”同时生成的数据电文形式的电子文件（备份标书），其他方式编制的备份响应文件视为无效备份响应文件。仅在出现解密异常情况下使用。</w:t>
      </w:r>
    </w:p>
    <w:p w14:paraId="0A871210">
      <w:pPr>
        <w:pStyle w:val="10"/>
        <w:spacing w:after="0" w:line="360" w:lineRule="auto"/>
        <w:ind w:firstLine="420"/>
        <w:rPr>
          <w:rFonts w:hint="eastAsia" w:ascii="仿宋" w:hAnsi="仿宋" w:eastAsia="仿宋" w:cs="仿宋"/>
          <w:color w:val="auto"/>
          <w:sz w:val="24"/>
          <w:highlight w:val="none"/>
        </w:rPr>
      </w:pPr>
      <w:r>
        <w:rPr>
          <w:rFonts w:hint="eastAsia" w:ascii="仿宋" w:hAnsi="仿宋" w:eastAsia="仿宋" w:cs="仿宋"/>
          <w:color w:val="auto"/>
          <w:sz w:val="24"/>
          <w:highlight w:val="none"/>
        </w:rPr>
        <w:t>2.响应文件的份数：“电子加密响应文件”：在线上传递交一份。</w:t>
      </w:r>
    </w:p>
    <w:p w14:paraId="313D013E">
      <w:pPr>
        <w:pStyle w:val="10"/>
        <w:spacing w:after="0" w:line="360" w:lineRule="auto"/>
        <w:ind w:firstLine="420"/>
        <w:rPr>
          <w:rFonts w:hint="eastAsia" w:ascii="仿宋" w:hAnsi="仿宋" w:eastAsia="仿宋" w:cs="仿宋"/>
          <w:color w:val="auto"/>
          <w:sz w:val="24"/>
          <w:highlight w:val="none"/>
        </w:rPr>
      </w:pPr>
      <w:r>
        <w:rPr>
          <w:rFonts w:hint="eastAsia" w:ascii="仿宋" w:hAnsi="仿宋" w:eastAsia="仿宋" w:cs="仿宋"/>
          <w:color w:val="auto"/>
          <w:sz w:val="24"/>
          <w:highlight w:val="none"/>
        </w:rPr>
        <w:t>3.响应文件的上传和递交：“备份响应文件”：密封包装后（邮寄形式）磋商截止时间前递交、一份数据电子备份响应文件（U 盘）：以 U 盘形式提供的数据电子备份响应文件格式及内容须与政采云平台项目采购-电子交易操作指南中制作、加密并递交的电子响应文件格式及内容一致。递交主要有以下两种方式：</w:t>
      </w:r>
    </w:p>
    <w:p w14:paraId="2A56745C">
      <w:pPr>
        <w:pStyle w:val="10"/>
        <w:spacing w:after="0" w:line="360" w:lineRule="auto"/>
        <w:ind w:firstLine="42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（1）本项目原则上采用不见面的形式开标，竞标供应商可以邮寄形式在磋商截止时间前递交以介质（U 盘）存储的数据电文形式的“备份响应文件”，供应商应对提供的数据电子备份响应文件（U 盘）进行加密处理，若需要启用数据电子备份响应文件（U 盘）时，再由供应商告知采购人及采购代理机构加密信息进行解密。“备份响应文件”应当密封包装并在包装上标注竞标项目名称、竞标单位名称、联系电话并加盖公章。通过邮寄的方式送达（原则上邮寄方式统一采用顺丰，拒绝到付）邮寄地址为：浙江新诚信工程咨询有限公司（湖州市吴兴区太湖路1155号中新商务大厦1402，收件人：</w:t>
      </w:r>
      <w:r>
        <w:rPr>
          <w:rFonts w:hint="eastAsia" w:ascii="仿宋" w:hAnsi="仿宋" w:eastAsia="仿宋" w:cs="仿宋"/>
          <w:b/>
          <w:bCs/>
          <w:color w:val="auto"/>
          <w:sz w:val="24"/>
          <w:highlight w:val="none"/>
          <w:lang w:val="en-US" w:eastAsia="zh-CN"/>
        </w:rPr>
        <w:t>郭婷</w:t>
      </w:r>
      <w:r>
        <w:rPr>
          <w:rFonts w:hint="eastAsia" w:ascii="仿宋" w:hAnsi="仿宋" w:eastAsia="仿宋" w:cs="仿宋"/>
          <w:b/>
          <w:bCs/>
          <w:color w:val="auto"/>
          <w:sz w:val="24"/>
          <w:highlight w:val="none"/>
        </w:rPr>
        <w:t>，联系电话：</w:t>
      </w:r>
      <w:r>
        <w:rPr>
          <w:rFonts w:hint="eastAsia" w:ascii="仿宋" w:hAnsi="仿宋" w:eastAsia="仿宋" w:cs="仿宋"/>
          <w:b/>
          <w:bCs/>
          <w:color w:val="auto"/>
          <w:sz w:val="24"/>
          <w:highlight w:val="none"/>
          <w:lang w:val="en-US" w:eastAsia="zh-CN"/>
        </w:rPr>
        <w:t>18768247439</w:t>
      </w:r>
      <w:r>
        <w:rPr>
          <w:rFonts w:hint="eastAsia" w:ascii="仿宋" w:hAnsi="仿宋" w:eastAsia="仿宋" w:cs="仿宋"/>
          <w:b/>
          <w:bCs/>
          <w:color w:val="auto"/>
          <w:sz w:val="24"/>
          <w:highlight w:val="none"/>
        </w:rPr>
        <w:t>），（以收件人实际签收时间为准，收件人签收后将予以回执，回执单采用图片形式发送给供应商确认，该回执单仅作为供应商邮寄的包裹送达时间的依据），逾期送达的将拒绝接收。</w:t>
      </w:r>
    </w:p>
    <w:p w14:paraId="137DD67E">
      <w:pPr>
        <w:pStyle w:val="10"/>
        <w:spacing w:after="0" w:line="360" w:lineRule="auto"/>
        <w:ind w:firstLine="42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（2）若供应商派授权代表出席开标会议（授权代表必须携带身份证、法人授权委托书或法人身份证明文书等有效证明文件以及最近三个月中任意一个月</w:t>
      </w:r>
      <w:r>
        <w:rPr>
          <w:rFonts w:hint="eastAsia" w:ascii="仿宋" w:hAnsi="仿宋" w:eastAsia="仿宋" w:cs="仿宋"/>
          <w:b/>
          <w:bCs/>
          <w:color w:val="auto"/>
          <w:sz w:val="24"/>
          <w:highlight w:val="none"/>
          <w:lang w:val="en-US" w:eastAsia="zh-CN"/>
        </w:rPr>
        <w:t>供应商</w:t>
      </w:r>
      <w:r>
        <w:rPr>
          <w:rFonts w:hint="eastAsia" w:ascii="仿宋" w:hAnsi="仿宋" w:eastAsia="仿宋" w:cs="仿宋"/>
          <w:b/>
          <w:bCs/>
          <w:color w:val="auto"/>
          <w:sz w:val="24"/>
          <w:highlight w:val="none"/>
        </w:rPr>
        <w:t>为其缴纳的社保证明文件。），数据电子备份响应文件（U 盘）应在磋商截止时间前送达，超过磋商截止时间前送达的，视为未提供。</w:t>
      </w:r>
    </w:p>
    <w:p w14:paraId="3C106DEA">
      <w:pPr>
        <w:pStyle w:val="10"/>
        <w:spacing w:after="0" w:line="360" w:lineRule="auto"/>
        <w:ind w:firstLine="420"/>
        <w:rPr>
          <w:rFonts w:hint="eastAsia" w:ascii="仿宋" w:hAnsi="仿宋" w:eastAsia="仿宋" w:cs="仿宋"/>
          <w:color w:val="auto"/>
          <w:sz w:val="24"/>
          <w:highlight w:val="none"/>
        </w:rPr>
      </w:pPr>
      <w:r>
        <w:rPr>
          <w:rFonts w:hint="eastAsia" w:ascii="仿宋" w:hAnsi="仿宋" w:eastAsia="仿宋" w:cs="仿宋"/>
          <w:color w:val="auto"/>
          <w:sz w:val="24"/>
          <w:highlight w:val="none"/>
        </w:rPr>
        <w:t>4.“电子加密响应文件”解密和异常情况处理：</w:t>
      </w:r>
    </w:p>
    <w:p w14:paraId="4DF38902">
      <w:pPr>
        <w:pStyle w:val="10"/>
        <w:spacing w:after="0" w:line="360" w:lineRule="auto"/>
        <w:ind w:firstLine="420"/>
        <w:rPr>
          <w:rFonts w:hint="eastAsia" w:ascii="仿宋" w:hAnsi="仿宋" w:eastAsia="仿宋" w:cs="仿宋"/>
          <w:color w:val="auto"/>
          <w:sz w:val="24"/>
          <w:highlight w:val="none"/>
        </w:rPr>
      </w:pPr>
      <w:r>
        <w:rPr>
          <w:rFonts w:hint="eastAsia" w:ascii="仿宋" w:hAnsi="仿宋" w:eastAsia="仿宋" w:cs="仿宋"/>
          <w:color w:val="auto"/>
          <w:sz w:val="24"/>
          <w:highlight w:val="none"/>
        </w:rPr>
        <w:t>（1）开标后，采购组织机构将向各竞标供应商发出“电子加密响应文件”的解密通知，各竞标供应商代表应当在接到解密通知后30分钟内自行完成“电子加密响应文件”的在线解密。</w:t>
      </w:r>
    </w:p>
    <w:p w14:paraId="1C81F7F6">
      <w:pPr>
        <w:pStyle w:val="10"/>
        <w:spacing w:after="0" w:line="360" w:lineRule="auto"/>
        <w:ind w:firstLine="420"/>
        <w:rPr>
          <w:rFonts w:hint="eastAsia" w:ascii="仿宋" w:hAnsi="仿宋" w:eastAsia="仿宋" w:cs="仿宋"/>
          <w:color w:val="auto"/>
          <w:sz w:val="24"/>
          <w:highlight w:val="none"/>
        </w:rPr>
      </w:pPr>
      <w:r>
        <w:rPr>
          <w:rFonts w:hint="eastAsia" w:ascii="仿宋" w:hAnsi="仿宋" w:eastAsia="仿宋" w:cs="仿宋"/>
          <w:color w:val="auto"/>
          <w:sz w:val="24"/>
          <w:highlight w:val="none"/>
        </w:rPr>
        <w:t>（2）通过“政府采购云平台”成功上传递交的“电子加密响应文件”无法按时解密，竞标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14:paraId="06B97EB4">
      <w:pPr>
        <w:pStyle w:val="10"/>
        <w:spacing w:after="0" w:line="360" w:lineRule="auto"/>
        <w:ind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（3）磋商截止时间前，竞标供应商仅递交了“备份响应文件”而未将电子加密竞标文件上传至“政府采购云平台”的，竞标无效。</w:t>
      </w:r>
    </w:p>
    <w:p w14:paraId="585EA167">
      <w:pPr>
        <w:pStyle w:val="10"/>
        <w:spacing w:after="0" w:line="360" w:lineRule="auto"/>
        <w:ind w:firstLine="42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注：1、仅提供备份响应文件的，竞标无效。</w:t>
      </w:r>
    </w:p>
    <w:p w14:paraId="132B71C2">
      <w:pPr>
        <w:pStyle w:val="10"/>
        <w:spacing w:after="0" w:line="360" w:lineRule="auto"/>
        <w:ind w:firstLine="42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2、未提供备份响应文件，造成项目开评标活动无法进行下去的，相关风险由供应商自行承担。</w:t>
      </w:r>
    </w:p>
    <w:p w14:paraId="6024B3E1">
      <w:pPr>
        <w:pStyle w:val="10"/>
        <w:spacing w:after="0" w:line="360" w:lineRule="auto"/>
        <w:ind w:firstLine="42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133620B3">
      <w:pPr>
        <w:spacing w:line="360" w:lineRule="auto"/>
        <w:jc w:val="left"/>
        <w:rPr>
          <w:rFonts w:hint="eastAsia" w:ascii="仿宋" w:hAnsi="仿宋" w:eastAsia="仿宋" w:cs="仿宋"/>
          <w:b/>
          <w:color w:val="auto"/>
          <w:sz w:val="24"/>
          <w:highlight w:val="none"/>
        </w:rPr>
      </w:pPr>
      <w:bookmarkStart w:id="45" w:name="_Toc282640710"/>
      <w:bookmarkStart w:id="46" w:name="_Toc17074"/>
      <w:bookmarkStart w:id="47" w:name="_Toc15269"/>
      <w:r>
        <w:rPr>
          <w:rFonts w:hint="eastAsia" w:ascii="仿宋" w:hAnsi="仿宋" w:eastAsia="仿宋" w:cs="仿宋"/>
          <w:b/>
          <w:color w:val="auto"/>
          <w:sz w:val="24"/>
          <w:highlight w:val="none"/>
        </w:rPr>
        <w:t>十一、无效响应文件</w:t>
      </w:r>
      <w:bookmarkEnd w:id="45"/>
      <w:bookmarkEnd w:id="46"/>
      <w:bookmarkEnd w:id="47"/>
    </w:p>
    <w:p w14:paraId="54436057">
      <w:pPr>
        <w:spacing w:line="360" w:lineRule="auto"/>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 xml:space="preserve">    发生下列情况之一的响应文件被视为无效：</w:t>
      </w:r>
    </w:p>
    <w:p w14:paraId="735F0555">
      <w:pPr>
        <w:numPr>
          <w:ilvl w:val="0"/>
          <w:numId w:val="5"/>
        </w:numPr>
        <w:spacing w:line="360" w:lineRule="auto"/>
        <w:jc w:val="left"/>
        <w:rPr>
          <w:rFonts w:hint="eastAsia" w:ascii="仿宋" w:hAnsi="仿宋" w:eastAsia="仿宋" w:cs="仿宋"/>
          <w:b/>
          <w:color w:val="auto"/>
          <w:sz w:val="24"/>
          <w:highlight w:val="none"/>
        </w:rPr>
      </w:pPr>
      <w:bookmarkStart w:id="48" w:name="_Toc16373"/>
      <w:bookmarkStart w:id="49" w:name="_Toc24811"/>
      <w:bookmarkStart w:id="50" w:name="_Toc282640720"/>
      <w:r>
        <w:rPr>
          <w:rFonts w:hint="eastAsia" w:ascii="仿宋" w:hAnsi="仿宋" w:eastAsia="仿宋" w:cs="仿宋"/>
          <w:b/>
          <w:color w:val="auto"/>
          <w:sz w:val="24"/>
          <w:highlight w:val="none"/>
        </w:rPr>
        <w:t>在资格审查时，如发现下列情形之一的，磋商响应文件将被视为无效：</w:t>
      </w:r>
    </w:p>
    <w:p w14:paraId="25546CD7">
      <w:pPr>
        <w:numPr>
          <w:ilvl w:val="0"/>
          <w:numId w:val="6"/>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资格证明文件不全的，或者不符合磋商文件标明的资格要求的；</w:t>
      </w:r>
    </w:p>
    <w:p w14:paraId="5F4EB9F5">
      <w:pPr>
        <w:numPr>
          <w:ilvl w:val="0"/>
          <w:numId w:val="6"/>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未按要求提供供应商法定代表人（负责人）或其授权代理人的有效身份证明的。</w:t>
      </w:r>
    </w:p>
    <w:p w14:paraId="26CF43D4">
      <w:pPr>
        <w:numPr>
          <w:ilvl w:val="0"/>
          <w:numId w:val="5"/>
        </w:numPr>
        <w:spacing w:line="360" w:lineRule="auto"/>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在符合性审查和商务评审时，如发现下列情形之一的，磋商响应文件将被视为无效：</w:t>
      </w:r>
    </w:p>
    <w:p w14:paraId="5FABA651">
      <w:pPr>
        <w:numPr>
          <w:ilvl w:val="0"/>
          <w:numId w:val="7"/>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磋商响应文件的密封、签署、盖章不符合磋商文件要求的；</w:t>
      </w:r>
    </w:p>
    <w:p w14:paraId="6C82BB6E">
      <w:pPr>
        <w:numPr>
          <w:ilvl w:val="0"/>
          <w:numId w:val="7"/>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不响应磋商文件实质性条款的；</w:t>
      </w:r>
    </w:p>
    <w:p w14:paraId="3B209B1E">
      <w:pPr>
        <w:numPr>
          <w:ilvl w:val="0"/>
          <w:numId w:val="7"/>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仅提供备份磋商响应文件的；</w:t>
      </w:r>
    </w:p>
    <w:p w14:paraId="0AF0157D">
      <w:pPr>
        <w:numPr>
          <w:ilvl w:val="0"/>
          <w:numId w:val="7"/>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电子磋商响应文件解密失败，且未在规定时间内提交备份磋商响应文件的；</w:t>
      </w:r>
    </w:p>
    <w:p w14:paraId="733CAE20">
      <w:pPr>
        <w:numPr>
          <w:ilvl w:val="0"/>
          <w:numId w:val="7"/>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电子磋商响应文件解密失败，虽然在规定时间内提交了备份磋商响应文件，但是备份磋商响应文件无法导入或者无法读取或者不符合本磋商文件和电子交易平台要求的；</w:t>
      </w:r>
    </w:p>
    <w:p w14:paraId="73EA1FC1">
      <w:pPr>
        <w:numPr>
          <w:ilvl w:val="0"/>
          <w:numId w:val="7"/>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磋商响应文件关键字迹模糊辨认不清的（磋商小组一致认为难以确认）；</w:t>
      </w:r>
    </w:p>
    <w:p w14:paraId="02929E73">
      <w:pPr>
        <w:numPr>
          <w:ilvl w:val="0"/>
          <w:numId w:val="7"/>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磋商文件规定的其他实质性要求（磋商小组一致认定）的；</w:t>
      </w:r>
    </w:p>
    <w:p w14:paraId="1F0A2250">
      <w:pPr>
        <w:numPr>
          <w:ilvl w:val="0"/>
          <w:numId w:val="7"/>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磋商响应文件载明的磋商有效期、付款方式、服务期等商务条款不能满足磋商文件要求的；</w:t>
      </w:r>
    </w:p>
    <w:p w14:paraId="64E4788A">
      <w:pPr>
        <w:numPr>
          <w:ilvl w:val="0"/>
          <w:numId w:val="7"/>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超出经营范围响应承诺的或磋商响应文件附有采购人不能接受的条件的</w:t>
      </w:r>
      <w:r>
        <w:rPr>
          <w:rFonts w:hint="eastAsia" w:ascii="仿宋" w:hAnsi="仿宋" w:eastAsia="仿宋" w:cs="仿宋"/>
          <w:bCs/>
          <w:color w:val="auto"/>
          <w:sz w:val="24"/>
          <w:highlight w:val="none"/>
          <w:lang w:eastAsia="zh-CN"/>
        </w:rPr>
        <w:t>；</w:t>
      </w:r>
    </w:p>
    <w:p w14:paraId="42CCFAD1">
      <w:pPr>
        <w:numPr>
          <w:ilvl w:val="0"/>
          <w:numId w:val="7"/>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提供虚假资料的；</w:t>
      </w:r>
    </w:p>
    <w:p w14:paraId="2811DD76">
      <w:pPr>
        <w:numPr>
          <w:ilvl w:val="0"/>
          <w:numId w:val="7"/>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法律、法规、规章及省级以上规范性文件等规定的其他情形。</w:t>
      </w:r>
    </w:p>
    <w:p w14:paraId="16457FD5">
      <w:pPr>
        <w:numPr>
          <w:ilvl w:val="0"/>
          <w:numId w:val="5"/>
        </w:numPr>
        <w:spacing w:line="360" w:lineRule="auto"/>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在技术评审时，如发现下列情形之一的，磋商响应文件将被视为无效：</w:t>
      </w:r>
    </w:p>
    <w:p w14:paraId="4820199A">
      <w:pPr>
        <w:numPr>
          <w:ilvl w:val="0"/>
          <w:numId w:val="8"/>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未提供或未如实提供投标的技术参数，或者响应文件标明的响应或偏离与事实不符或虚假投标的；</w:t>
      </w:r>
    </w:p>
    <w:p w14:paraId="27CA76EB">
      <w:pPr>
        <w:numPr>
          <w:ilvl w:val="0"/>
          <w:numId w:val="8"/>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明显不符合磋商文件要求的服务需求和标注、规格型号、质量标准，或者与磋商文件中标有“▲”的技术指标、主要功能项目发生实质性偏离的；</w:t>
      </w:r>
    </w:p>
    <w:p w14:paraId="1F0EB1C5">
      <w:pPr>
        <w:numPr>
          <w:ilvl w:val="0"/>
          <w:numId w:val="8"/>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与其他参加本次供应商的响应文件（技术文件）的文字表述内容相同连续20行以上或者差错相同2处以上的；</w:t>
      </w:r>
    </w:p>
    <w:p w14:paraId="1E8EFD48">
      <w:pPr>
        <w:numPr>
          <w:ilvl w:val="0"/>
          <w:numId w:val="8"/>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未提供服务/货物清单或所提供的清单主要项目（如数量、单位等）不全或低于磋商文件要求响应的；</w:t>
      </w:r>
    </w:p>
    <w:p w14:paraId="55108679">
      <w:pPr>
        <w:numPr>
          <w:ilvl w:val="0"/>
          <w:numId w:val="8"/>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技术方案不明确，存在一个或一个以上备选（替代）方案的；</w:t>
      </w:r>
    </w:p>
    <w:p w14:paraId="0A5DAB08">
      <w:pPr>
        <w:numPr>
          <w:ilvl w:val="0"/>
          <w:numId w:val="5"/>
        </w:numPr>
        <w:spacing w:line="360" w:lineRule="auto"/>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在报价评审时，如发现下列情形之一的，磋商响应文件将被视为无效：</w:t>
      </w:r>
    </w:p>
    <w:p w14:paraId="3AF7C3C1">
      <w:pPr>
        <w:numPr>
          <w:ilvl w:val="0"/>
          <w:numId w:val="9"/>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未按磋商文件标明的要求报价的；</w:t>
      </w:r>
    </w:p>
    <w:p w14:paraId="443AEA55">
      <w:pPr>
        <w:numPr>
          <w:ilvl w:val="0"/>
          <w:numId w:val="9"/>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报价超出本项目预算金额（最高限价）的；</w:t>
      </w:r>
    </w:p>
    <w:p w14:paraId="6BDAD96F">
      <w:pPr>
        <w:numPr>
          <w:ilvl w:val="0"/>
          <w:numId w:val="9"/>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供应商提交两份或两份以上内容不同的报价文件，或在一份报价文件中对同一采购项目有两个或两个以上报价的；</w:t>
      </w:r>
    </w:p>
    <w:p w14:paraId="5541D32D">
      <w:pPr>
        <w:numPr>
          <w:ilvl w:val="0"/>
          <w:numId w:val="9"/>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擅自改变采购人提供的清单，或未提供竞争性磋商文件要求的采购清单，影响磋商正常进行的；</w:t>
      </w:r>
    </w:p>
    <w:p w14:paraId="4C56EBC1">
      <w:pPr>
        <w:numPr>
          <w:ilvl w:val="0"/>
          <w:numId w:val="9"/>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供应商拒绝修正不平衡报价，或拒绝提供报价分析说明和证明材料的；</w:t>
      </w:r>
    </w:p>
    <w:p w14:paraId="347CF36D">
      <w:pPr>
        <w:numPr>
          <w:ilvl w:val="0"/>
          <w:numId w:val="9"/>
        </w:numPr>
        <w:tabs>
          <w:tab w:val="left" w:pos="420"/>
          <w:tab w:val="clear" w:pos="840"/>
        </w:tabs>
        <w:spacing w:line="360" w:lineRule="auto"/>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供应商的报价明显低于其他通过符合性审查供应商的报价，有可能影响产品质量或者不能诚信履约的，应当要求其在现场合理的时间内提供书面说明，必要时提供相关证明材料，供应商不能证明其合理性，评委按照少数服从多数的原则判定其为无效标的。</w:t>
      </w:r>
    </w:p>
    <w:p w14:paraId="099BF385">
      <w:pPr>
        <w:spacing w:line="360" w:lineRule="auto"/>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十二、废标</w:t>
      </w:r>
      <w:bookmarkEnd w:id="48"/>
      <w:bookmarkEnd w:id="49"/>
    </w:p>
    <w:p w14:paraId="1498DA0E">
      <w:p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在磋商中，出现下列情形之一的，应予废标：</w:t>
      </w:r>
    </w:p>
    <w:p w14:paraId="7A47D442">
      <w:pPr>
        <w:numPr>
          <w:ilvl w:val="0"/>
          <w:numId w:val="10"/>
        </w:num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符合专业条件的供应商或者对磋商文件作实质响应的供应商不足三家的（特殊情况经审批同意的除外）；</w:t>
      </w:r>
    </w:p>
    <w:p w14:paraId="0F8A195F">
      <w:pPr>
        <w:numPr>
          <w:ilvl w:val="0"/>
          <w:numId w:val="10"/>
        </w:num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出现影响采购公正的违法、违规行为的；</w:t>
      </w:r>
    </w:p>
    <w:p w14:paraId="1905F0A8">
      <w:pPr>
        <w:numPr>
          <w:ilvl w:val="0"/>
          <w:numId w:val="10"/>
        </w:num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因重大变故，采购任务取消的;</w:t>
      </w:r>
    </w:p>
    <w:p w14:paraId="6CCBC896">
      <w:pPr>
        <w:numPr>
          <w:ilvl w:val="0"/>
          <w:numId w:val="10"/>
        </w:num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供应商的报价均超过预算价的，采购人不能支付的;</w:t>
      </w:r>
    </w:p>
    <w:p w14:paraId="5EFDB1F5">
      <w:pPr>
        <w:numPr>
          <w:ilvl w:val="0"/>
          <w:numId w:val="10"/>
        </w:num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法律、法规、规章等规定的其他情形除外。</w:t>
      </w:r>
    </w:p>
    <w:p w14:paraId="5758D547">
      <w:pPr>
        <w:spacing w:line="360" w:lineRule="auto"/>
        <w:ind w:firstLine="48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废标后，采购人将废标理由通知所有供应商。</w:t>
      </w:r>
    </w:p>
    <w:p w14:paraId="3B7EA349">
      <w:pPr>
        <w:spacing w:line="360" w:lineRule="auto"/>
        <w:ind w:firstLine="48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本磋商规则及程序只适用于“</w:t>
      </w:r>
      <w:r>
        <w:rPr>
          <w:rFonts w:hint="eastAsia" w:ascii="仿宋" w:hAnsi="仿宋" w:eastAsia="仿宋" w:cs="仿宋"/>
          <w:b/>
          <w:color w:val="auto"/>
          <w:sz w:val="24"/>
          <w:highlight w:val="none"/>
          <w:lang w:eastAsia="zh-CN"/>
        </w:rPr>
        <w:t>浙江省湖州市中级人民法院安保服务采购项目</w:t>
      </w:r>
      <w:r>
        <w:rPr>
          <w:rFonts w:hint="eastAsia" w:ascii="仿宋" w:hAnsi="仿宋" w:eastAsia="仿宋" w:cs="仿宋"/>
          <w:bCs/>
          <w:color w:val="auto"/>
          <w:sz w:val="24"/>
          <w:highlight w:val="none"/>
        </w:rPr>
        <w:t>”。</w:t>
      </w:r>
    </w:p>
    <w:p w14:paraId="2FAAB379">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十三、出现以下情形，导致电子交易平台无法正常运行，或者无法保证电子交易的公平、公正和安全时，中止电子交易活动：</w:t>
      </w:r>
    </w:p>
    <w:p w14:paraId="77D9283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（1）电子交易平台发生故障而无法登录访问的；</w:t>
      </w:r>
    </w:p>
    <w:p w14:paraId="4998A66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（2）电子交易平台应用或数据库出现错误，不能进行正常操作的；</w:t>
      </w:r>
    </w:p>
    <w:p w14:paraId="5316254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（3）电子交易平台发现严重安全漏洞，有潜在泄密危险的；</w:t>
      </w:r>
    </w:p>
    <w:p w14:paraId="267B31D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（4）病毒发作导致不能进行正常操作的；</w:t>
      </w:r>
    </w:p>
    <w:p w14:paraId="53AA0C5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（5）其他无法保证电子交易的公平、公正和安全的情况。</w:t>
      </w:r>
    </w:p>
    <w:p w14:paraId="00CCDFB8">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出现前款规定情形，不影响采购公平、公正性的，采购组织机构可以待上述情形消除后继续组织电子交易活动，也可以决定某些环节以纸质形式进行；影响或可能影响采购公平、公正性的，重新采购。</w:t>
      </w:r>
    </w:p>
    <w:bookmarkEnd w:id="50"/>
    <w:p w14:paraId="779A1551">
      <w:pPr>
        <w:spacing w:line="360" w:lineRule="auto"/>
        <w:jc w:val="left"/>
        <w:rPr>
          <w:rFonts w:hint="eastAsia" w:ascii="仿宋" w:hAnsi="仿宋" w:eastAsia="仿宋" w:cs="仿宋"/>
          <w:b/>
          <w:color w:val="auto"/>
          <w:sz w:val="24"/>
          <w:highlight w:val="none"/>
        </w:rPr>
      </w:pPr>
      <w:bookmarkStart w:id="51" w:name="_Toc27014"/>
      <w:bookmarkStart w:id="52" w:name="_Toc27719"/>
      <w:r>
        <w:rPr>
          <w:rFonts w:hint="eastAsia" w:ascii="仿宋" w:hAnsi="仿宋" w:eastAsia="仿宋" w:cs="仿宋"/>
          <w:b/>
          <w:color w:val="auto"/>
          <w:sz w:val="24"/>
          <w:highlight w:val="none"/>
        </w:rPr>
        <w:t>十四、竞争性磋商文件质疑</w:t>
      </w:r>
      <w:bookmarkEnd w:id="51"/>
      <w:bookmarkEnd w:id="52"/>
    </w:p>
    <w:p w14:paraId="2E2CF65F">
      <w:pPr>
        <w:spacing w:line="360" w:lineRule="auto"/>
        <w:jc w:val="left"/>
        <w:rPr>
          <w:rFonts w:hint="eastAsia" w:ascii="仿宋" w:hAnsi="仿宋" w:eastAsia="仿宋" w:cs="仿宋"/>
          <w:bCs/>
          <w:color w:val="auto"/>
          <w:sz w:val="24"/>
          <w:highlight w:val="none"/>
        </w:rPr>
      </w:pPr>
      <w:bookmarkStart w:id="53" w:name="_Toc26868"/>
      <w:bookmarkStart w:id="54" w:name="_Toc21657"/>
      <w:bookmarkStart w:id="55" w:name="_Toc282640721"/>
      <w:r>
        <w:rPr>
          <w:rFonts w:hint="eastAsia" w:ascii="仿宋" w:hAnsi="仿宋" w:eastAsia="仿宋" w:cs="仿宋"/>
          <w:bCs/>
          <w:color w:val="auto"/>
          <w:sz w:val="24"/>
          <w:highlight w:val="none"/>
        </w:rPr>
        <w:t xml:space="preserve">    1、供应商认为磋商文件、采购过程、中标或者成交结果使自己的权益受到损害的，可以在知道或者应知其权益受到损害之日起7个工作日内，以书面形式向代理采购机构提出质疑。</w:t>
      </w:r>
    </w:p>
    <w:p w14:paraId="3FC7297B">
      <w:pPr>
        <w:spacing w:line="360" w:lineRule="auto"/>
        <w:ind w:firstLine="480" w:firstLineChars="200"/>
        <w:outlineLvl w:val="1"/>
        <w:rPr>
          <w:rFonts w:hint="eastAsia" w:ascii="仿宋" w:hAnsi="仿宋" w:eastAsia="仿宋" w:cs="仿宋"/>
          <w:bCs/>
          <w:color w:val="auto"/>
          <w:sz w:val="24"/>
          <w:highlight w:val="none"/>
        </w:rPr>
      </w:pPr>
      <w:bookmarkStart w:id="56" w:name="_Toc13813"/>
      <w:bookmarkStart w:id="57" w:name="_Toc18085"/>
      <w:bookmarkStart w:id="58" w:name="_Toc5808"/>
      <w:bookmarkStart w:id="59" w:name="_Toc20369"/>
      <w:bookmarkStart w:id="60" w:name="_Toc23064"/>
      <w:r>
        <w:rPr>
          <w:rFonts w:hint="eastAsia" w:ascii="仿宋" w:hAnsi="仿宋" w:eastAsia="仿宋" w:cs="仿宋"/>
          <w:bCs/>
          <w:color w:val="auto"/>
          <w:sz w:val="24"/>
          <w:highlight w:val="none"/>
        </w:rPr>
        <w:t>2.提出质疑的供应商（以下简称质疑供应商）应当是参与所质疑项目采购活动的供应商。</w:t>
      </w:r>
      <w:bookmarkEnd w:id="56"/>
      <w:bookmarkEnd w:id="57"/>
      <w:bookmarkEnd w:id="58"/>
      <w:bookmarkEnd w:id="59"/>
      <w:bookmarkEnd w:id="60"/>
    </w:p>
    <w:p w14:paraId="0D1CBA6B">
      <w:pPr>
        <w:spacing w:line="360" w:lineRule="auto"/>
        <w:ind w:firstLine="480" w:firstLineChars="200"/>
        <w:outlineLvl w:val="1"/>
        <w:rPr>
          <w:rFonts w:hint="eastAsia" w:ascii="仿宋" w:hAnsi="仿宋" w:eastAsia="仿宋" w:cs="仿宋"/>
          <w:bCs/>
          <w:color w:val="auto"/>
          <w:sz w:val="24"/>
          <w:highlight w:val="none"/>
        </w:rPr>
      </w:pPr>
      <w:bookmarkStart w:id="61" w:name="_Toc183"/>
      <w:bookmarkStart w:id="62" w:name="_Toc21166"/>
      <w:bookmarkStart w:id="63" w:name="_Toc1129"/>
      <w:bookmarkStart w:id="64" w:name="_Toc15495"/>
      <w:bookmarkStart w:id="65" w:name="_Toc6640"/>
      <w:r>
        <w:rPr>
          <w:rFonts w:hint="eastAsia" w:ascii="仿宋" w:hAnsi="仿宋" w:eastAsia="仿宋" w:cs="仿宋"/>
          <w:bCs/>
          <w:color w:val="auto"/>
          <w:sz w:val="24"/>
          <w:highlight w:val="none"/>
        </w:rPr>
        <w:t>潜在供应商已依法获取其可质疑的采购文件的，可以对该文件提出质疑。对采购文件提出质疑的，应当在获取采购文件或者采购文件公告期限届满之日起7个工作日内提出。</w:t>
      </w:r>
      <w:bookmarkEnd w:id="61"/>
      <w:bookmarkEnd w:id="62"/>
      <w:bookmarkEnd w:id="63"/>
      <w:bookmarkEnd w:id="64"/>
      <w:bookmarkEnd w:id="65"/>
    </w:p>
    <w:p w14:paraId="1D175C20">
      <w:pPr>
        <w:spacing w:line="360" w:lineRule="auto"/>
        <w:ind w:firstLine="480" w:firstLineChars="200"/>
        <w:outlineLvl w:val="1"/>
        <w:rPr>
          <w:rFonts w:hint="eastAsia" w:ascii="仿宋" w:hAnsi="仿宋" w:eastAsia="仿宋" w:cs="仿宋"/>
          <w:bCs/>
          <w:color w:val="auto"/>
          <w:sz w:val="24"/>
          <w:highlight w:val="none"/>
        </w:rPr>
      </w:pPr>
      <w:bookmarkStart w:id="66" w:name="_Toc19881"/>
      <w:bookmarkStart w:id="67" w:name="_Toc12826"/>
      <w:bookmarkStart w:id="68" w:name="_Toc19498"/>
      <w:bookmarkStart w:id="69" w:name="_Toc27639"/>
      <w:bookmarkStart w:id="70" w:name="_Toc3989"/>
      <w:r>
        <w:rPr>
          <w:rFonts w:hint="eastAsia" w:ascii="仿宋" w:hAnsi="仿宋" w:eastAsia="仿宋" w:cs="仿宋"/>
          <w:bCs/>
          <w:color w:val="auto"/>
          <w:sz w:val="24"/>
          <w:highlight w:val="none"/>
        </w:rPr>
        <w:t>3.供应商提出质疑应当提交质疑函和必要的证明材料。质疑函应当包括下列内容:</w:t>
      </w:r>
      <w:bookmarkEnd w:id="66"/>
      <w:bookmarkEnd w:id="67"/>
      <w:bookmarkEnd w:id="68"/>
      <w:bookmarkEnd w:id="69"/>
      <w:bookmarkEnd w:id="70"/>
    </w:p>
    <w:p w14:paraId="093123B8">
      <w:pPr>
        <w:spacing w:line="360" w:lineRule="auto"/>
        <w:ind w:firstLine="480" w:firstLineChars="200"/>
        <w:outlineLvl w:val="1"/>
        <w:rPr>
          <w:rFonts w:hint="eastAsia" w:ascii="仿宋" w:hAnsi="仿宋" w:eastAsia="仿宋" w:cs="仿宋"/>
          <w:bCs/>
          <w:color w:val="auto"/>
          <w:sz w:val="24"/>
          <w:highlight w:val="none"/>
        </w:rPr>
      </w:pPr>
      <w:bookmarkStart w:id="71" w:name="_Toc12656"/>
      <w:bookmarkStart w:id="72" w:name="_Toc6186"/>
      <w:bookmarkStart w:id="73" w:name="_Toc29630"/>
      <w:bookmarkStart w:id="74" w:name="_Toc27519"/>
      <w:bookmarkStart w:id="75" w:name="_Toc1146"/>
      <w:r>
        <w:rPr>
          <w:rFonts w:hint="eastAsia" w:ascii="仿宋" w:hAnsi="仿宋" w:eastAsia="仿宋" w:cs="仿宋"/>
          <w:bCs/>
          <w:color w:val="auto"/>
          <w:sz w:val="24"/>
          <w:highlight w:val="none"/>
        </w:rPr>
        <w:t>（1）供应商的姓名或者名称、地址、邮编、联系人及联系电话；</w:t>
      </w:r>
      <w:bookmarkEnd w:id="71"/>
      <w:bookmarkEnd w:id="72"/>
      <w:bookmarkEnd w:id="73"/>
      <w:bookmarkEnd w:id="74"/>
      <w:bookmarkEnd w:id="75"/>
    </w:p>
    <w:p w14:paraId="36E87EF2">
      <w:pPr>
        <w:spacing w:line="360" w:lineRule="auto"/>
        <w:ind w:firstLine="480" w:firstLineChars="200"/>
        <w:outlineLvl w:val="1"/>
        <w:rPr>
          <w:rFonts w:hint="eastAsia" w:ascii="仿宋" w:hAnsi="仿宋" w:eastAsia="仿宋" w:cs="仿宋"/>
          <w:bCs/>
          <w:color w:val="auto"/>
          <w:sz w:val="24"/>
          <w:highlight w:val="none"/>
        </w:rPr>
      </w:pPr>
      <w:bookmarkStart w:id="76" w:name="_Toc17110"/>
      <w:bookmarkStart w:id="77" w:name="_Toc19963"/>
      <w:bookmarkStart w:id="78" w:name="_Toc2063"/>
      <w:bookmarkStart w:id="79" w:name="_Toc11441"/>
      <w:bookmarkStart w:id="80" w:name="_Toc30477"/>
      <w:r>
        <w:rPr>
          <w:rFonts w:hint="eastAsia" w:ascii="仿宋" w:hAnsi="仿宋" w:eastAsia="仿宋" w:cs="仿宋"/>
          <w:bCs/>
          <w:color w:val="auto"/>
          <w:sz w:val="24"/>
          <w:highlight w:val="none"/>
        </w:rPr>
        <w:t>（2）质疑项目的名称、编号；</w:t>
      </w:r>
      <w:bookmarkEnd w:id="76"/>
      <w:bookmarkEnd w:id="77"/>
      <w:bookmarkEnd w:id="78"/>
      <w:bookmarkEnd w:id="79"/>
      <w:bookmarkEnd w:id="80"/>
    </w:p>
    <w:p w14:paraId="79062CB3">
      <w:pPr>
        <w:spacing w:line="360" w:lineRule="auto"/>
        <w:ind w:firstLine="480" w:firstLineChars="200"/>
        <w:outlineLvl w:val="1"/>
        <w:rPr>
          <w:rFonts w:hint="eastAsia" w:ascii="仿宋" w:hAnsi="仿宋" w:eastAsia="仿宋" w:cs="仿宋"/>
          <w:bCs/>
          <w:color w:val="auto"/>
          <w:sz w:val="24"/>
          <w:highlight w:val="none"/>
        </w:rPr>
      </w:pPr>
      <w:bookmarkStart w:id="81" w:name="_Toc11689"/>
      <w:bookmarkStart w:id="82" w:name="_Toc6468"/>
      <w:bookmarkStart w:id="83" w:name="_Toc11825"/>
      <w:bookmarkStart w:id="84" w:name="_Toc3753"/>
      <w:bookmarkStart w:id="85" w:name="_Toc2273"/>
      <w:r>
        <w:rPr>
          <w:rFonts w:hint="eastAsia" w:ascii="仿宋" w:hAnsi="仿宋" w:eastAsia="仿宋" w:cs="仿宋"/>
          <w:bCs/>
          <w:color w:val="auto"/>
          <w:sz w:val="24"/>
          <w:highlight w:val="none"/>
        </w:rPr>
        <w:t>（3）具体、明确的质疑事项和与质疑事项相关的请求；</w:t>
      </w:r>
      <w:bookmarkEnd w:id="81"/>
      <w:bookmarkEnd w:id="82"/>
      <w:bookmarkEnd w:id="83"/>
      <w:bookmarkEnd w:id="84"/>
      <w:bookmarkEnd w:id="85"/>
    </w:p>
    <w:p w14:paraId="66463794">
      <w:pPr>
        <w:spacing w:line="360" w:lineRule="auto"/>
        <w:ind w:firstLine="480" w:firstLineChars="200"/>
        <w:outlineLvl w:val="1"/>
        <w:rPr>
          <w:rFonts w:hint="eastAsia" w:ascii="仿宋" w:hAnsi="仿宋" w:eastAsia="仿宋" w:cs="仿宋"/>
          <w:bCs/>
          <w:color w:val="auto"/>
          <w:sz w:val="24"/>
          <w:highlight w:val="none"/>
        </w:rPr>
      </w:pPr>
      <w:bookmarkStart w:id="86" w:name="_Toc23258"/>
      <w:bookmarkStart w:id="87" w:name="_Toc15293"/>
      <w:bookmarkStart w:id="88" w:name="_Toc12833"/>
      <w:bookmarkStart w:id="89" w:name="_Toc26715"/>
      <w:bookmarkStart w:id="90" w:name="_Toc28762"/>
      <w:r>
        <w:rPr>
          <w:rFonts w:hint="eastAsia" w:ascii="仿宋" w:hAnsi="仿宋" w:eastAsia="仿宋" w:cs="仿宋"/>
          <w:bCs/>
          <w:color w:val="auto"/>
          <w:sz w:val="24"/>
          <w:highlight w:val="none"/>
        </w:rPr>
        <w:t>（4）事实依据；</w:t>
      </w:r>
      <w:bookmarkEnd w:id="86"/>
      <w:bookmarkEnd w:id="87"/>
      <w:bookmarkEnd w:id="88"/>
      <w:bookmarkEnd w:id="89"/>
      <w:bookmarkEnd w:id="90"/>
    </w:p>
    <w:p w14:paraId="02403988">
      <w:pPr>
        <w:spacing w:line="360" w:lineRule="auto"/>
        <w:ind w:firstLine="480" w:firstLineChars="200"/>
        <w:outlineLvl w:val="1"/>
        <w:rPr>
          <w:rFonts w:hint="eastAsia" w:ascii="仿宋" w:hAnsi="仿宋" w:eastAsia="仿宋" w:cs="仿宋"/>
          <w:bCs/>
          <w:color w:val="auto"/>
          <w:sz w:val="24"/>
          <w:highlight w:val="none"/>
        </w:rPr>
      </w:pPr>
      <w:bookmarkStart w:id="91" w:name="_Toc7610"/>
      <w:bookmarkStart w:id="92" w:name="_Toc24275"/>
      <w:bookmarkStart w:id="93" w:name="_Toc10706"/>
      <w:bookmarkStart w:id="94" w:name="_Toc24034"/>
      <w:bookmarkStart w:id="95" w:name="_Toc5162"/>
      <w:r>
        <w:rPr>
          <w:rFonts w:hint="eastAsia" w:ascii="仿宋" w:hAnsi="仿宋" w:eastAsia="仿宋" w:cs="仿宋"/>
          <w:bCs/>
          <w:color w:val="auto"/>
          <w:sz w:val="24"/>
          <w:highlight w:val="none"/>
        </w:rPr>
        <w:t>（5）必要的法律依据；</w:t>
      </w:r>
      <w:bookmarkEnd w:id="91"/>
      <w:bookmarkEnd w:id="92"/>
      <w:bookmarkEnd w:id="93"/>
      <w:bookmarkEnd w:id="94"/>
      <w:bookmarkEnd w:id="95"/>
    </w:p>
    <w:p w14:paraId="053EE78E">
      <w:pPr>
        <w:spacing w:line="360" w:lineRule="auto"/>
        <w:ind w:firstLine="480" w:firstLineChars="200"/>
        <w:outlineLvl w:val="1"/>
        <w:rPr>
          <w:rFonts w:hint="eastAsia" w:ascii="仿宋" w:hAnsi="仿宋" w:eastAsia="仿宋" w:cs="仿宋"/>
          <w:bCs/>
          <w:color w:val="auto"/>
          <w:sz w:val="24"/>
          <w:highlight w:val="none"/>
        </w:rPr>
      </w:pPr>
      <w:bookmarkStart w:id="96" w:name="_Toc25782"/>
      <w:bookmarkStart w:id="97" w:name="_Toc2157"/>
      <w:bookmarkStart w:id="98" w:name="_Toc31175"/>
      <w:bookmarkStart w:id="99" w:name="_Toc1042"/>
      <w:bookmarkStart w:id="100" w:name="_Toc7350"/>
      <w:r>
        <w:rPr>
          <w:rFonts w:hint="eastAsia" w:ascii="仿宋" w:hAnsi="仿宋" w:eastAsia="仿宋" w:cs="仿宋"/>
          <w:bCs/>
          <w:color w:val="auto"/>
          <w:sz w:val="24"/>
          <w:highlight w:val="none"/>
        </w:rPr>
        <w:t>（6）提出质疑的日期。</w:t>
      </w:r>
      <w:bookmarkEnd w:id="96"/>
      <w:bookmarkEnd w:id="97"/>
      <w:bookmarkEnd w:id="98"/>
      <w:bookmarkEnd w:id="99"/>
      <w:bookmarkEnd w:id="100"/>
    </w:p>
    <w:p w14:paraId="15A40027">
      <w:pPr>
        <w:spacing w:line="360" w:lineRule="auto"/>
        <w:ind w:firstLine="480" w:firstLineChars="200"/>
        <w:outlineLvl w:val="1"/>
        <w:rPr>
          <w:rFonts w:hint="eastAsia" w:ascii="仿宋" w:hAnsi="仿宋" w:eastAsia="仿宋" w:cs="仿宋"/>
          <w:bCs/>
          <w:color w:val="auto"/>
          <w:sz w:val="24"/>
          <w:highlight w:val="none"/>
        </w:rPr>
      </w:pPr>
      <w:bookmarkStart w:id="101" w:name="_Toc6484"/>
      <w:bookmarkStart w:id="102" w:name="_Toc13906"/>
      <w:bookmarkStart w:id="103" w:name="_Toc12530"/>
      <w:bookmarkStart w:id="104" w:name="_Toc3732"/>
      <w:bookmarkStart w:id="105" w:name="_Toc4444"/>
      <w:r>
        <w:rPr>
          <w:rFonts w:hint="eastAsia" w:ascii="仿宋" w:hAnsi="仿宋" w:eastAsia="仿宋" w:cs="仿宋"/>
          <w:bCs/>
          <w:color w:val="auto"/>
          <w:sz w:val="24"/>
          <w:highlight w:val="none"/>
        </w:rPr>
        <w:t>供应商为自然人的，应当由本人签字；供应商为法人或者其他组织的，应当由法定代表人、主要负责人，或者其授权代表签字或者盖章，并加盖公章。</w:t>
      </w:r>
      <w:bookmarkEnd w:id="101"/>
      <w:bookmarkEnd w:id="102"/>
      <w:bookmarkEnd w:id="103"/>
      <w:bookmarkEnd w:id="104"/>
      <w:bookmarkEnd w:id="105"/>
    </w:p>
    <w:p w14:paraId="60630D07">
      <w:pPr>
        <w:spacing w:line="360" w:lineRule="auto"/>
        <w:ind w:firstLine="480" w:firstLineChars="200"/>
        <w:outlineLvl w:val="1"/>
        <w:rPr>
          <w:rFonts w:hint="eastAsia" w:ascii="仿宋" w:hAnsi="仿宋" w:eastAsia="仿宋" w:cs="仿宋"/>
          <w:bCs/>
          <w:color w:val="auto"/>
          <w:sz w:val="24"/>
          <w:highlight w:val="none"/>
        </w:rPr>
      </w:pPr>
      <w:bookmarkStart w:id="106" w:name="_Toc30553"/>
      <w:bookmarkStart w:id="107" w:name="_Toc30049"/>
      <w:bookmarkStart w:id="108" w:name="_Toc23444"/>
      <w:bookmarkStart w:id="109" w:name="_Toc13658"/>
      <w:bookmarkStart w:id="110" w:name="_Toc14863"/>
      <w:r>
        <w:rPr>
          <w:rFonts w:hint="eastAsia" w:ascii="仿宋" w:hAnsi="仿宋" w:eastAsia="仿宋" w:cs="仿宋"/>
          <w:bCs/>
          <w:color w:val="auto"/>
          <w:sz w:val="24"/>
          <w:highlight w:val="none"/>
        </w:rPr>
        <w:t>4.采购人、采购代理机构不得拒收质疑供应商在法定质疑期内发出的质疑函，应当在收到质疑函后7个工作日内作出答复，并以书面形式通知质疑供应商和其他有关供应商。</w:t>
      </w:r>
      <w:bookmarkEnd w:id="106"/>
      <w:bookmarkEnd w:id="107"/>
      <w:bookmarkEnd w:id="108"/>
      <w:bookmarkEnd w:id="109"/>
      <w:bookmarkEnd w:id="110"/>
    </w:p>
    <w:p w14:paraId="1A2F0F7C">
      <w:pPr>
        <w:spacing w:line="360" w:lineRule="auto"/>
        <w:ind w:firstLine="480" w:firstLineChars="200"/>
        <w:outlineLvl w:val="1"/>
        <w:rPr>
          <w:rFonts w:hint="eastAsia" w:ascii="仿宋" w:hAnsi="仿宋" w:eastAsia="仿宋" w:cs="仿宋"/>
          <w:bCs/>
          <w:color w:val="auto"/>
          <w:sz w:val="24"/>
          <w:highlight w:val="none"/>
        </w:rPr>
      </w:pPr>
      <w:bookmarkStart w:id="111" w:name="_Toc4300"/>
      <w:bookmarkStart w:id="112" w:name="_Toc17278"/>
      <w:bookmarkStart w:id="113" w:name="_Toc23864"/>
      <w:bookmarkStart w:id="114" w:name="_Toc17522"/>
      <w:bookmarkStart w:id="115" w:name="_Toc22028"/>
      <w:r>
        <w:rPr>
          <w:rFonts w:hint="eastAsia" w:ascii="仿宋" w:hAnsi="仿宋" w:eastAsia="仿宋" w:cs="仿宋"/>
          <w:bCs/>
          <w:color w:val="auto"/>
          <w:sz w:val="24"/>
          <w:highlight w:val="none"/>
        </w:rPr>
        <w:t>5.供应商对评审过程、中标或者中标结果提出质疑的，采购人、采购代理机构可以组织原评标委员会、竞争性谈判小组、询价小组或者竞争性磋商小组协助答复质疑。</w:t>
      </w:r>
      <w:bookmarkEnd w:id="111"/>
      <w:bookmarkEnd w:id="112"/>
      <w:bookmarkEnd w:id="113"/>
      <w:bookmarkEnd w:id="114"/>
      <w:bookmarkEnd w:id="115"/>
    </w:p>
    <w:p w14:paraId="6A215B50">
      <w:pPr>
        <w:spacing w:line="360" w:lineRule="auto"/>
        <w:ind w:firstLine="480" w:firstLineChars="200"/>
        <w:outlineLvl w:val="1"/>
        <w:rPr>
          <w:rFonts w:hint="eastAsia" w:ascii="仿宋" w:hAnsi="仿宋" w:eastAsia="仿宋" w:cs="仿宋"/>
          <w:bCs/>
          <w:color w:val="auto"/>
          <w:sz w:val="24"/>
          <w:highlight w:val="none"/>
        </w:rPr>
      </w:pPr>
      <w:bookmarkStart w:id="116" w:name="_Toc3786"/>
      <w:bookmarkStart w:id="117" w:name="_Toc17334"/>
      <w:bookmarkStart w:id="118" w:name="_Toc21288"/>
      <w:bookmarkStart w:id="119" w:name="_Toc13206"/>
      <w:bookmarkStart w:id="120" w:name="_Toc20906"/>
      <w:r>
        <w:rPr>
          <w:rFonts w:hint="eastAsia" w:ascii="仿宋" w:hAnsi="仿宋" w:eastAsia="仿宋" w:cs="仿宋"/>
          <w:bCs/>
          <w:color w:val="auto"/>
          <w:sz w:val="24"/>
          <w:highlight w:val="none"/>
        </w:rPr>
        <w:t>6.质疑答复应当包括下列内容：</w:t>
      </w:r>
      <w:bookmarkEnd w:id="116"/>
      <w:bookmarkEnd w:id="117"/>
      <w:bookmarkEnd w:id="118"/>
      <w:bookmarkEnd w:id="119"/>
      <w:bookmarkEnd w:id="120"/>
    </w:p>
    <w:p w14:paraId="6BCD7CAB">
      <w:pPr>
        <w:spacing w:line="360" w:lineRule="auto"/>
        <w:ind w:firstLine="480" w:firstLineChars="200"/>
        <w:outlineLvl w:val="1"/>
        <w:rPr>
          <w:rFonts w:hint="eastAsia" w:ascii="仿宋" w:hAnsi="仿宋" w:eastAsia="仿宋" w:cs="仿宋"/>
          <w:bCs/>
          <w:color w:val="auto"/>
          <w:sz w:val="24"/>
          <w:highlight w:val="none"/>
        </w:rPr>
      </w:pPr>
      <w:bookmarkStart w:id="121" w:name="_Toc18571"/>
      <w:bookmarkStart w:id="122" w:name="_Toc30592"/>
      <w:bookmarkStart w:id="123" w:name="_Toc9259"/>
      <w:bookmarkStart w:id="124" w:name="_Toc8133"/>
      <w:bookmarkStart w:id="125" w:name="_Toc31956"/>
      <w:r>
        <w:rPr>
          <w:rFonts w:hint="eastAsia" w:ascii="仿宋" w:hAnsi="仿宋" w:eastAsia="仿宋" w:cs="仿宋"/>
          <w:bCs/>
          <w:color w:val="auto"/>
          <w:sz w:val="24"/>
          <w:highlight w:val="none"/>
        </w:rPr>
        <w:t>（1）质疑供应商的姓名或者名称；</w:t>
      </w:r>
      <w:bookmarkEnd w:id="121"/>
      <w:bookmarkEnd w:id="122"/>
      <w:bookmarkEnd w:id="123"/>
      <w:bookmarkEnd w:id="124"/>
      <w:bookmarkEnd w:id="125"/>
    </w:p>
    <w:p w14:paraId="73BAB74B">
      <w:pPr>
        <w:spacing w:line="360" w:lineRule="auto"/>
        <w:ind w:firstLine="480" w:firstLineChars="200"/>
        <w:outlineLvl w:val="1"/>
        <w:rPr>
          <w:rFonts w:hint="eastAsia" w:ascii="仿宋" w:hAnsi="仿宋" w:eastAsia="仿宋" w:cs="仿宋"/>
          <w:bCs/>
          <w:color w:val="auto"/>
          <w:sz w:val="24"/>
          <w:highlight w:val="none"/>
        </w:rPr>
      </w:pPr>
      <w:bookmarkStart w:id="126" w:name="_Toc4160"/>
      <w:bookmarkStart w:id="127" w:name="_Toc7840"/>
      <w:bookmarkStart w:id="128" w:name="_Toc6667"/>
      <w:bookmarkStart w:id="129" w:name="_Toc6848"/>
      <w:bookmarkStart w:id="130" w:name="_Toc24106"/>
      <w:r>
        <w:rPr>
          <w:rFonts w:hint="eastAsia" w:ascii="仿宋" w:hAnsi="仿宋" w:eastAsia="仿宋" w:cs="仿宋"/>
          <w:bCs/>
          <w:color w:val="auto"/>
          <w:sz w:val="24"/>
          <w:highlight w:val="none"/>
        </w:rPr>
        <w:t>（2）收到质疑函的日期、质疑项目名称及编号；</w:t>
      </w:r>
      <w:bookmarkEnd w:id="126"/>
      <w:bookmarkEnd w:id="127"/>
      <w:bookmarkEnd w:id="128"/>
      <w:bookmarkEnd w:id="129"/>
      <w:bookmarkEnd w:id="130"/>
    </w:p>
    <w:p w14:paraId="1CFFCF03">
      <w:pPr>
        <w:spacing w:line="360" w:lineRule="auto"/>
        <w:ind w:firstLine="480" w:firstLineChars="200"/>
        <w:outlineLvl w:val="1"/>
        <w:rPr>
          <w:rFonts w:hint="eastAsia" w:ascii="仿宋" w:hAnsi="仿宋" w:eastAsia="仿宋" w:cs="仿宋"/>
          <w:bCs/>
          <w:color w:val="auto"/>
          <w:sz w:val="24"/>
          <w:highlight w:val="none"/>
        </w:rPr>
      </w:pPr>
      <w:bookmarkStart w:id="131" w:name="_Toc21305"/>
      <w:bookmarkStart w:id="132" w:name="_Toc24770"/>
      <w:bookmarkStart w:id="133" w:name="_Toc21675"/>
      <w:bookmarkStart w:id="134" w:name="_Toc27207"/>
      <w:bookmarkStart w:id="135" w:name="_Toc24534"/>
      <w:r>
        <w:rPr>
          <w:rFonts w:hint="eastAsia" w:ascii="仿宋" w:hAnsi="仿宋" w:eastAsia="仿宋" w:cs="仿宋"/>
          <w:bCs/>
          <w:color w:val="auto"/>
          <w:sz w:val="24"/>
          <w:highlight w:val="none"/>
        </w:rPr>
        <w:t>（3）质疑事项、质疑答复的具体内容、事实依据和法律依据；</w:t>
      </w:r>
      <w:bookmarkEnd w:id="131"/>
      <w:bookmarkEnd w:id="132"/>
      <w:bookmarkEnd w:id="133"/>
      <w:bookmarkEnd w:id="134"/>
      <w:bookmarkEnd w:id="135"/>
    </w:p>
    <w:p w14:paraId="5A019B9C">
      <w:pPr>
        <w:spacing w:line="360" w:lineRule="auto"/>
        <w:ind w:firstLine="480" w:firstLineChars="200"/>
        <w:outlineLvl w:val="1"/>
        <w:rPr>
          <w:rFonts w:hint="eastAsia" w:ascii="仿宋" w:hAnsi="仿宋" w:eastAsia="仿宋" w:cs="仿宋"/>
          <w:bCs/>
          <w:color w:val="auto"/>
          <w:sz w:val="24"/>
          <w:highlight w:val="none"/>
        </w:rPr>
      </w:pPr>
      <w:bookmarkStart w:id="136" w:name="_Toc9271"/>
      <w:bookmarkStart w:id="137" w:name="_Toc9473"/>
      <w:bookmarkStart w:id="138" w:name="_Toc6059"/>
      <w:bookmarkStart w:id="139" w:name="_Toc22003"/>
      <w:bookmarkStart w:id="140" w:name="_Toc22665"/>
      <w:r>
        <w:rPr>
          <w:rFonts w:hint="eastAsia" w:ascii="仿宋" w:hAnsi="仿宋" w:eastAsia="仿宋" w:cs="仿宋"/>
          <w:bCs/>
          <w:color w:val="auto"/>
          <w:sz w:val="24"/>
          <w:highlight w:val="none"/>
        </w:rPr>
        <w:t>（4）告知质疑供应商依法投诉的权利；</w:t>
      </w:r>
      <w:bookmarkEnd w:id="136"/>
      <w:bookmarkEnd w:id="137"/>
      <w:bookmarkEnd w:id="138"/>
      <w:bookmarkEnd w:id="139"/>
      <w:bookmarkEnd w:id="140"/>
    </w:p>
    <w:p w14:paraId="2C965290">
      <w:pPr>
        <w:spacing w:line="360" w:lineRule="auto"/>
        <w:ind w:firstLine="480" w:firstLineChars="200"/>
        <w:outlineLvl w:val="1"/>
        <w:rPr>
          <w:rFonts w:hint="eastAsia" w:ascii="仿宋" w:hAnsi="仿宋" w:eastAsia="仿宋" w:cs="仿宋"/>
          <w:bCs/>
          <w:color w:val="auto"/>
          <w:sz w:val="24"/>
          <w:highlight w:val="none"/>
        </w:rPr>
      </w:pPr>
      <w:bookmarkStart w:id="141" w:name="_Toc27921"/>
      <w:bookmarkStart w:id="142" w:name="_Toc26745"/>
      <w:bookmarkStart w:id="143" w:name="_Toc11117"/>
      <w:bookmarkStart w:id="144" w:name="_Toc7474"/>
      <w:bookmarkStart w:id="145" w:name="_Toc27367"/>
      <w:r>
        <w:rPr>
          <w:rFonts w:hint="eastAsia" w:ascii="仿宋" w:hAnsi="仿宋" w:eastAsia="仿宋" w:cs="仿宋"/>
          <w:bCs/>
          <w:color w:val="auto"/>
          <w:sz w:val="24"/>
          <w:highlight w:val="none"/>
        </w:rPr>
        <w:t>（5）质疑答复人名称；</w:t>
      </w:r>
      <w:bookmarkEnd w:id="141"/>
      <w:bookmarkEnd w:id="142"/>
      <w:bookmarkEnd w:id="143"/>
      <w:bookmarkEnd w:id="144"/>
      <w:bookmarkEnd w:id="145"/>
    </w:p>
    <w:p w14:paraId="064A6D18">
      <w:pPr>
        <w:spacing w:line="360" w:lineRule="auto"/>
        <w:ind w:firstLine="480" w:firstLineChars="200"/>
        <w:outlineLvl w:val="1"/>
        <w:rPr>
          <w:rFonts w:hint="eastAsia" w:ascii="仿宋" w:hAnsi="仿宋" w:eastAsia="仿宋" w:cs="仿宋"/>
          <w:bCs/>
          <w:color w:val="auto"/>
          <w:sz w:val="24"/>
          <w:highlight w:val="none"/>
        </w:rPr>
      </w:pPr>
      <w:bookmarkStart w:id="146" w:name="_Toc3347"/>
      <w:bookmarkStart w:id="147" w:name="_Toc19274"/>
      <w:bookmarkStart w:id="148" w:name="_Toc7372"/>
      <w:bookmarkStart w:id="149" w:name="_Toc2964"/>
      <w:bookmarkStart w:id="150" w:name="_Toc21407"/>
      <w:r>
        <w:rPr>
          <w:rFonts w:hint="eastAsia" w:ascii="仿宋" w:hAnsi="仿宋" w:eastAsia="仿宋" w:cs="仿宋"/>
          <w:bCs/>
          <w:color w:val="auto"/>
          <w:sz w:val="24"/>
          <w:highlight w:val="none"/>
        </w:rPr>
        <w:t>（6）答复质疑的日期。</w:t>
      </w:r>
      <w:bookmarkEnd w:id="146"/>
      <w:bookmarkEnd w:id="147"/>
      <w:bookmarkEnd w:id="148"/>
      <w:bookmarkEnd w:id="149"/>
      <w:bookmarkEnd w:id="150"/>
    </w:p>
    <w:p w14:paraId="54C63D5F">
      <w:pPr>
        <w:spacing w:line="360" w:lineRule="auto"/>
        <w:ind w:firstLine="482" w:firstLineChars="200"/>
        <w:outlineLvl w:val="1"/>
        <w:rPr>
          <w:rFonts w:hint="eastAsia" w:ascii="仿宋" w:hAnsi="仿宋" w:eastAsia="仿宋" w:cs="仿宋"/>
          <w:b/>
          <w:color w:val="auto"/>
          <w:sz w:val="24"/>
          <w:highlight w:val="none"/>
        </w:rPr>
      </w:pPr>
      <w:bookmarkStart w:id="151" w:name="_Toc27815"/>
      <w:bookmarkStart w:id="152" w:name="_Toc10361"/>
      <w:bookmarkStart w:id="153" w:name="_Toc26485"/>
      <w:bookmarkStart w:id="154" w:name="_Toc27878"/>
      <w:bookmarkStart w:id="155" w:name="_Toc19211"/>
      <w:r>
        <w:rPr>
          <w:rFonts w:hint="eastAsia" w:ascii="仿宋" w:hAnsi="仿宋" w:eastAsia="仿宋" w:cs="仿宋"/>
          <w:b/>
          <w:color w:val="auto"/>
          <w:sz w:val="24"/>
          <w:highlight w:val="none"/>
        </w:rPr>
        <w:t>质疑答复的内容不得涉及商业秘密。</w:t>
      </w:r>
      <w:bookmarkEnd w:id="151"/>
      <w:bookmarkEnd w:id="152"/>
      <w:bookmarkEnd w:id="153"/>
      <w:bookmarkEnd w:id="154"/>
      <w:bookmarkEnd w:id="155"/>
    </w:p>
    <w:p w14:paraId="246112AB">
      <w:pPr>
        <w:spacing w:line="360" w:lineRule="auto"/>
        <w:ind w:firstLine="480" w:firstLineChars="200"/>
        <w:outlineLvl w:val="1"/>
        <w:rPr>
          <w:rFonts w:hint="eastAsia" w:ascii="仿宋" w:hAnsi="仿宋" w:eastAsia="仿宋" w:cs="仿宋"/>
          <w:bCs/>
          <w:color w:val="auto"/>
          <w:sz w:val="24"/>
          <w:highlight w:val="none"/>
        </w:rPr>
      </w:pPr>
      <w:bookmarkStart w:id="156" w:name="_Toc727"/>
      <w:bookmarkStart w:id="157" w:name="_Toc27770"/>
      <w:bookmarkStart w:id="158" w:name="_Toc25882"/>
      <w:bookmarkStart w:id="159" w:name="_Toc6925"/>
      <w:bookmarkStart w:id="160" w:name="_Toc23772"/>
      <w:r>
        <w:rPr>
          <w:rFonts w:hint="eastAsia" w:ascii="仿宋" w:hAnsi="仿宋" w:eastAsia="仿宋" w:cs="仿宋"/>
          <w:bCs/>
          <w:color w:val="auto"/>
          <w:sz w:val="24"/>
          <w:highlight w:val="none"/>
        </w:rPr>
        <w:t>7.采购人、采购代理机构认为供应商质疑不成立，或者成立但未对中标、中标结果构成影响的，继续开展采购活动；认为供应商质疑成立且影响或者可能影响中标、中标结果的，按照下列情况处理：</w:t>
      </w:r>
      <w:bookmarkEnd w:id="156"/>
      <w:bookmarkEnd w:id="157"/>
      <w:bookmarkEnd w:id="158"/>
      <w:bookmarkEnd w:id="159"/>
      <w:bookmarkEnd w:id="160"/>
    </w:p>
    <w:p w14:paraId="3CA7BE5A">
      <w:pPr>
        <w:spacing w:line="360" w:lineRule="auto"/>
        <w:ind w:firstLine="480" w:firstLineChars="200"/>
        <w:outlineLvl w:val="1"/>
        <w:rPr>
          <w:rFonts w:hint="eastAsia" w:ascii="仿宋" w:hAnsi="仿宋" w:eastAsia="仿宋" w:cs="仿宋"/>
          <w:bCs/>
          <w:color w:val="auto"/>
          <w:sz w:val="24"/>
          <w:highlight w:val="none"/>
        </w:rPr>
      </w:pPr>
      <w:bookmarkStart w:id="161" w:name="_Toc5928"/>
      <w:bookmarkStart w:id="162" w:name="_Toc17581"/>
      <w:bookmarkStart w:id="163" w:name="_Toc25981"/>
      <w:bookmarkStart w:id="164" w:name="_Toc21857"/>
      <w:bookmarkStart w:id="165" w:name="_Toc14538"/>
      <w:r>
        <w:rPr>
          <w:rFonts w:hint="eastAsia" w:ascii="仿宋" w:hAnsi="仿宋" w:eastAsia="仿宋" w:cs="仿宋"/>
          <w:bCs/>
          <w:color w:val="auto"/>
          <w:sz w:val="24"/>
          <w:highlight w:val="none"/>
        </w:rPr>
        <w:t>（1）对采购文件提出的质疑，依法通过澄清或者修改可以继续开展采购活动的，澄清或者修改采购文件后继续开展采购活动；否则应当修改采购文件后重新开展采购活动。</w:t>
      </w:r>
      <w:bookmarkEnd w:id="161"/>
      <w:bookmarkEnd w:id="162"/>
      <w:bookmarkEnd w:id="163"/>
      <w:bookmarkEnd w:id="164"/>
      <w:bookmarkEnd w:id="165"/>
    </w:p>
    <w:p w14:paraId="04B1C905">
      <w:pPr>
        <w:spacing w:line="360" w:lineRule="auto"/>
        <w:ind w:firstLine="480" w:firstLineChars="200"/>
        <w:outlineLvl w:val="1"/>
        <w:rPr>
          <w:rFonts w:hint="eastAsia" w:ascii="仿宋" w:hAnsi="仿宋" w:eastAsia="仿宋" w:cs="仿宋"/>
          <w:bCs/>
          <w:color w:val="auto"/>
          <w:sz w:val="24"/>
          <w:highlight w:val="none"/>
        </w:rPr>
      </w:pPr>
      <w:bookmarkStart w:id="166" w:name="_Toc27714"/>
      <w:bookmarkStart w:id="167" w:name="_Toc14888"/>
      <w:bookmarkStart w:id="168" w:name="_Toc458"/>
      <w:bookmarkStart w:id="169" w:name="_Toc18407"/>
      <w:bookmarkStart w:id="170" w:name="_Toc17510"/>
      <w:r>
        <w:rPr>
          <w:rFonts w:hint="eastAsia" w:ascii="仿宋" w:hAnsi="仿宋" w:eastAsia="仿宋" w:cs="仿宋"/>
          <w:bCs/>
          <w:color w:val="auto"/>
          <w:sz w:val="24"/>
          <w:highlight w:val="none"/>
        </w:rPr>
        <w:t>（2）对采购过程、中标或者中标结果提出的质疑，合格供应商符合法定数量时，可以从合格的中标或者中标候选人中另行确定中标、中标供应商的，应当依法另行确定中标、中标供应商；否则应当重新开展采购活动。</w:t>
      </w:r>
      <w:bookmarkEnd w:id="166"/>
      <w:bookmarkEnd w:id="167"/>
      <w:bookmarkEnd w:id="168"/>
      <w:bookmarkEnd w:id="169"/>
      <w:bookmarkEnd w:id="170"/>
    </w:p>
    <w:p w14:paraId="47D6E4D0">
      <w:pPr>
        <w:spacing w:line="360" w:lineRule="auto"/>
        <w:ind w:firstLine="480" w:firstLineChars="200"/>
        <w:outlineLvl w:val="1"/>
        <w:rPr>
          <w:rFonts w:hint="eastAsia" w:ascii="仿宋" w:hAnsi="仿宋" w:eastAsia="仿宋" w:cs="仿宋"/>
          <w:bCs/>
          <w:color w:val="auto"/>
          <w:sz w:val="24"/>
          <w:highlight w:val="none"/>
        </w:rPr>
      </w:pPr>
      <w:bookmarkStart w:id="171" w:name="_Toc30771"/>
      <w:bookmarkStart w:id="172" w:name="_Toc19235"/>
      <w:bookmarkStart w:id="173" w:name="_Toc16586"/>
      <w:bookmarkStart w:id="174" w:name="_Toc32598"/>
      <w:bookmarkStart w:id="175" w:name="_Toc27856"/>
      <w:r>
        <w:rPr>
          <w:rFonts w:hint="eastAsia" w:ascii="仿宋" w:hAnsi="仿宋" w:eastAsia="仿宋" w:cs="仿宋"/>
          <w:bCs/>
          <w:color w:val="auto"/>
          <w:sz w:val="24"/>
          <w:highlight w:val="none"/>
        </w:rPr>
        <w:t>质疑答复导致中标、中标结果改变的，采购人或者采购代理机构应当将有关情况书面报告本级财政部门</w:t>
      </w:r>
      <w:bookmarkEnd w:id="171"/>
      <w:bookmarkEnd w:id="172"/>
      <w:bookmarkEnd w:id="173"/>
      <w:bookmarkEnd w:id="174"/>
      <w:bookmarkEnd w:id="175"/>
    </w:p>
    <w:p w14:paraId="749D7D65">
      <w:pPr>
        <w:spacing w:line="360" w:lineRule="auto"/>
        <w:ind w:firstLine="482" w:firstLineChars="200"/>
        <w:outlineLvl w:val="1"/>
        <w:rPr>
          <w:rFonts w:hint="eastAsia" w:ascii="仿宋" w:hAnsi="仿宋" w:eastAsia="仿宋" w:cs="仿宋"/>
          <w:bCs/>
          <w:color w:val="auto"/>
          <w:sz w:val="24"/>
          <w:highlight w:val="none"/>
        </w:rPr>
      </w:pPr>
      <w:bookmarkStart w:id="176" w:name="_Toc783"/>
      <w:bookmarkStart w:id="177" w:name="_Toc2039"/>
      <w:bookmarkStart w:id="178" w:name="_Toc14133"/>
      <w:bookmarkStart w:id="179" w:name="_Toc13179"/>
      <w:bookmarkStart w:id="180" w:name="_Toc27514"/>
      <w:r>
        <w:rPr>
          <w:rFonts w:hint="eastAsia" w:ascii="仿宋" w:hAnsi="仿宋" w:eastAsia="仿宋" w:cs="仿宋"/>
          <w:b/>
          <w:color w:val="auto"/>
          <w:sz w:val="24"/>
          <w:highlight w:val="none"/>
        </w:rPr>
        <w:t>未按规定格式、内容提出的，采购人、采购代理机构将不予受理。</w:t>
      </w:r>
      <w:bookmarkEnd w:id="176"/>
      <w:bookmarkEnd w:id="177"/>
      <w:bookmarkEnd w:id="178"/>
      <w:bookmarkEnd w:id="179"/>
      <w:bookmarkEnd w:id="180"/>
    </w:p>
    <w:p w14:paraId="431DC9BA">
      <w:pPr>
        <w:spacing w:line="360" w:lineRule="auto"/>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十五、确定成交供应商方法</w:t>
      </w:r>
      <w:bookmarkEnd w:id="53"/>
      <w:bookmarkEnd w:id="54"/>
      <w:bookmarkEnd w:id="55"/>
    </w:p>
    <w:p w14:paraId="0E46596C">
      <w:pPr>
        <w:spacing w:line="360" w:lineRule="auto"/>
        <w:ind w:firstLine="480" w:firstLineChars="200"/>
        <w:jc w:val="left"/>
        <w:rPr>
          <w:rFonts w:hint="eastAsia" w:ascii="仿宋" w:hAnsi="仿宋" w:eastAsia="仿宋" w:cs="仿宋"/>
          <w:bCs/>
          <w:color w:val="auto"/>
          <w:sz w:val="24"/>
          <w:highlight w:val="none"/>
        </w:rPr>
      </w:pPr>
      <w:bookmarkStart w:id="181" w:name="_Toc5559"/>
      <w:bookmarkStart w:id="182" w:name="_Toc18596"/>
      <w:bookmarkStart w:id="183" w:name="_Toc282640722"/>
      <w:r>
        <w:rPr>
          <w:rFonts w:hint="eastAsia" w:ascii="仿宋" w:hAnsi="仿宋" w:eastAsia="仿宋" w:cs="仿宋"/>
          <w:bCs/>
          <w:color w:val="auto"/>
          <w:sz w:val="24"/>
          <w:highlight w:val="none"/>
        </w:rPr>
        <w:t>在质量与服务均能满足采购项目要求的前提下，以综合得分由高到低的原则确定成交供应商，详细的磋商程序见竞争性磋商文件第四章内容。</w:t>
      </w:r>
      <w:bookmarkEnd w:id="181"/>
      <w:bookmarkEnd w:id="182"/>
      <w:bookmarkEnd w:id="183"/>
    </w:p>
    <w:p w14:paraId="06480E39">
      <w:pPr>
        <w:spacing w:line="360" w:lineRule="auto"/>
        <w:jc w:val="left"/>
        <w:rPr>
          <w:rFonts w:hint="eastAsia" w:ascii="仿宋" w:hAnsi="仿宋" w:eastAsia="仿宋" w:cs="仿宋"/>
          <w:b/>
          <w:color w:val="auto"/>
          <w:sz w:val="24"/>
          <w:highlight w:val="none"/>
        </w:rPr>
      </w:pPr>
      <w:bookmarkStart w:id="184" w:name="_Toc16626"/>
      <w:bookmarkStart w:id="185" w:name="_Toc28666"/>
      <w:r>
        <w:rPr>
          <w:rFonts w:hint="eastAsia" w:ascii="仿宋" w:hAnsi="仿宋" w:eastAsia="仿宋" w:cs="仿宋"/>
          <w:b/>
          <w:color w:val="auto"/>
          <w:sz w:val="24"/>
          <w:highlight w:val="none"/>
        </w:rPr>
        <w:t>十六、授予合同</w:t>
      </w:r>
      <w:bookmarkEnd w:id="184"/>
      <w:bookmarkEnd w:id="185"/>
    </w:p>
    <w:p w14:paraId="42E14445">
      <w:p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r>
        <w:rPr>
          <w:rFonts w:hint="eastAsia" w:ascii="仿宋" w:hAnsi="仿宋" w:eastAsia="仿宋" w:cs="仿宋"/>
          <w:b/>
          <w:color w:val="auto"/>
          <w:sz w:val="24"/>
          <w:highlight w:val="none"/>
        </w:rPr>
        <w:t xml:space="preserve">  1. 授予合同的依据</w:t>
      </w:r>
    </w:p>
    <w:p w14:paraId="01A93428">
      <w:pPr>
        <w:numPr>
          <w:ilvl w:val="0"/>
          <w:numId w:val="11"/>
        </w:num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采购人签发的成交通知书；</w:t>
      </w:r>
    </w:p>
    <w:p w14:paraId="09EECE91">
      <w:pPr>
        <w:numPr>
          <w:ilvl w:val="0"/>
          <w:numId w:val="11"/>
        </w:num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磋商文件、磋商文件的修改及补充通知（函）；</w:t>
      </w:r>
    </w:p>
    <w:p w14:paraId="21BD4578">
      <w:pPr>
        <w:numPr>
          <w:ilvl w:val="0"/>
          <w:numId w:val="11"/>
        </w:num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响应文件和磋商时供应商作出的书面澄清、说明、纠正、承诺等</w:t>
      </w:r>
      <w:r>
        <w:rPr>
          <w:rFonts w:hint="eastAsia" w:ascii="仿宋" w:hAnsi="仿宋" w:eastAsia="仿宋" w:cs="仿宋"/>
          <w:bCs/>
          <w:color w:val="auto"/>
          <w:sz w:val="24"/>
          <w:highlight w:val="none"/>
          <w:lang w:eastAsia="zh-CN"/>
        </w:rPr>
        <w:t>。</w:t>
      </w:r>
    </w:p>
    <w:p w14:paraId="7A6C275E">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    2. 合同签订</w:t>
      </w:r>
    </w:p>
    <w:p w14:paraId="77407C64">
      <w:pPr>
        <w:numPr>
          <w:ilvl w:val="0"/>
          <w:numId w:val="12"/>
        </w:num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成交供应商与采购人应按成交通知书中规定的时间、地点签订合同，否则应承担相应的法律责任。</w:t>
      </w:r>
    </w:p>
    <w:p w14:paraId="03253680">
      <w:pPr>
        <w:numPr>
          <w:ilvl w:val="0"/>
          <w:numId w:val="12"/>
        </w:num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磋商文件、成交供应商的响应文件及磋商过程中有关澄清文件和承诺均为合同附件。</w:t>
      </w:r>
    </w:p>
    <w:p w14:paraId="5A45B11C">
      <w:pPr>
        <w:numPr>
          <w:ilvl w:val="0"/>
          <w:numId w:val="12"/>
        </w:num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采购人与成交供应商将根据《中华人民共和国</w:t>
      </w:r>
      <w:r>
        <w:rPr>
          <w:rFonts w:hint="eastAsia" w:ascii="仿宋" w:hAnsi="仿宋" w:eastAsia="仿宋" w:cs="仿宋"/>
          <w:bCs/>
          <w:color w:val="auto"/>
          <w:sz w:val="24"/>
          <w:highlight w:val="none"/>
          <w:lang w:val="en-US" w:eastAsia="zh-CN"/>
        </w:rPr>
        <w:t>民法典</w:t>
      </w:r>
      <w:r>
        <w:rPr>
          <w:rFonts w:hint="eastAsia" w:ascii="仿宋" w:hAnsi="仿宋" w:eastAsia="仿宋" w:cs="仿宋"/>
          <w:bCs/>
          <w:color w:val="auto"/>
          <w:sz w:val="24"/>
          <w:highlight w:val="none"/>
        </w:rPr>
        <w:t>》的规定，依据磋商文件和成交供应商的响应文件签订书面合同。</w:t>
      </w:r>
    </w:p>
    <w:p w14:paraId="4323C41F">
      <w:pPr>
        <w:numPr>
          <w:ilvl w:val="0"/>
          <w:numId w:val="12"/>
        </w:num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采购人如不与成交供应商订立合同，或者采购人、成交供应商订立背离合同实质性内容的协议，由政府有关部门责令改正，同时依法承担相应法律责任；</w:t>
      </w:r>
    </w:p>
    <w:p w14:paraId="19A8E573">
      <w:pPr>
        <w:numPr>
          <w:ilvl w:val="0"/>
          <w:numId w:val="12"/>
        </w:num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成交供应商如不按规定与采购人订立合同，则采购人将废除授标，给采购人造成的损失超依法承担相应法律责任。</w:t>
      </w:r>
    </w:p>
    <w:p w14:paraId="05AA0C32">
      <w:pPr>
        <w:numPr>
          <w:ilvl w:val="0"/>
          <w:numId w:val="12"/>
        </w:num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成交供应商应当按照合同约定履行义务，完成成交项目各项工作，不得将成交项目违法转让（转包）给他人；</w:t>
      </w:r>
    </w:p>
    <w:p w14:paraId="65D6EB4C">
      <w:pPr>
        <w:numPr>
          <w:ilvl w:val="0"/>
          <w:numId w:val="12"/>
        </w:num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如果成交供应商未能遵守上述的规定，则可取消其成交资格。在此情况下，可将合同授予排序在成交供应商之后的第一位成交候选供应商。</w:t>
      </w:r>
    </w:p>
    <w:p w14:paraId="0DEA870B">
      <w:pPr>
        <w:numPr>
          <w:ilvl w:val="0"/>
          <w:numId w:val="12"/>
        </w:num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自合同签订之日起七个工作日内，成交供应商需将合同副本送采购代理机构备案。</w:t>
      </w:r>
    </w:p>
    <w:p w14:paraId="2A836942">
      <w:pPr>
        <w:spacing w:line="360"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3、履约保证金：</w:t>
      </w:r>
      <w:r>
        <w:rPr>
          <w:rFonts w:hint="eastAsia" w:ascii="仿宋" w:hAnsi="仿宋" w:eastAsia="仿宋" w:cs="仿宋"/>
          <w:bCs/>
          <w:color w:val="auto"/>
          <w:sz w:val="24"/>
          <w:highlight w:val="none"/>
          <w:lang w:val="en-US" w:eastAsia="zh-CN"/>
        </w:rPr>
        <w:t>无</w:t>
      </w:r>
    </w:p>
    <w:p w14:paraId="466B2851">
      <w:pPr>
        <w:pStyle w:val="2"/>
        <w:spacing w:before="0" w:after="0" w:line="800" w:lineRule="exact"/>
        <w:jc w:val="center"/>
        <w:rPr>
          <w:rStyle w:val="42"/>
          <w:rFonts w:hint="eastAsia" w:ascii="仿宋" w:hAnsi="仿宋" w:eastAsia="仿宋" w:cs="仿宋"/>
          <w:b/>
          <w:bCs/>
          <w:color w:val="auto"/>
          <w:highlight w:val="none"/>
        </w:rPr>
      </w:pPr>
      <w:r>
        <w:rPr>
          <w:rFonts w:hint="eastAsia" w:ascii="仿宋" w:hAnsi="仿宋" w:eastAsia="仿宋" w:cs="仿宋"/>
          <w:color w:val="auto"/>
          <w:sz w:val="32"/>
          <w:szCs w:val="32"/>
          <w:highlight w:val="none"/>
        </w:rPr>
        <w:br w:type="page"/>
      </w:r>
      <w:bookmarkStart w:id="186" w:name="_Toc11638"/>
      <w:bookmarkStart w:id="187" w:name="_Toc26972"/>
      <w:bookmarkStart w:id="188" w:name="_Toc29112"/>
      <w:r>
        <w:rPr>
          <w:rStyle w:val="42"/>
          <w:rFonts w:hint="eastAsia" w:ascii="仿宋" w:hAnsi="仿宋" w:eastAsia="仿宋" w:cs="仿宋"/>
          <w:b/>
          <w:bCs/>
          <w:color w:val="auto"/>
          <w:highlight w:val="none"/>
        </w:rPr>
        <w:t>第三章  采购需求</w:t>
      </w:r>
      <w:bookmarkEnd w:id="186"/>
      <w:bookmarkEnd w:id="187"/>
      <w:bookmarkEnd w:id="188"/>
    </w:p>
    <w:p w14:paraId="480FD4F2">
      <w:pPr>
        <w:rPr>
          <w:rFonts w:hint="eastAsia" w:ascii="仿宋" w:hAnsi="仿宋" w:eastAsia="仿宋" w:cs="仿宋"/>
          <w:color w:val="auto"/>
          <w:highlight w:val="none"/>
        </w:rPr>
      </w:pPr>
    </w:p>
    <w:p w14:paraId="29150763">
      <w:pPr>
        <w:pStyle w:val="25"/>
        <w:numPr>
          <w:ilvl w:val="-1"/>
          <w:numId w:val="0"/>
        </w:numPr>
        <w:spacing w:line="360" w:lineRule="auto"/>
        <w:ind w:firstLine="0"/>
        <w:rPr>
          <w:rFonts w:hint="eastAsia" w:ascii="仿宋" w:hAnsi="仿宋" w:eastAsia="仿宋" w:cs="仿宋"/>
          <w:b/>
          <w:bCs/>
          <w:color w:val="auto"/>
          <w:sz w:val="24"/>
          <w:szCs w:val="24"/>
          <w:highlight w:val="none"/>
        </w:rPr>
      </w:pPr>
      <w:bookmarkStart w:id="189" w:name="_Toc402872203"/>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color w:val="auto"/>
          <w:sz w:val="24"/>
          <w:szCs w:val="24"/>
          <w:highlight w:val="none"/>
        </w:rPr>
        <w:t>项目名称：</w:t>
      </w:r>
      <w:r>
        <w:rPr>
          <w:rFonts w:hint="eastAsia" w:ascii="仿宋" w:hAnsi="仿宋" w:eastAsia="仿宋" w:cs="仿宋"/>
          <w:b w:val="0"/>
          <w:bCs w:val="0"/>
          <w:color w:val="auto"/>
          <w:sz w:val="24"/>
          <w:szCs w:val="24"/>
          <w:highlight w:val="none"/>
          <w:lang w:eastAsia="zh-CN"/>
        </w:rPr>
        <w:t>浙江省湖州市中级人民法院安保服务采购项目</w:t>
      </w:r>
    </w:p>
    <w:p w14:paraId="51F2432E">
      <w:pPr>
        <w:pStyle w:val="15"/>
        <w:spacing w:line="460" w:lineRule="exact"/>
        <w:ind w:firstLine="0" w:firstLineChars="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二、服务采购要求：</w:t>
      </w:r>
    </w:p>
    <w:p w14:paraId="7FE6D97F">
      <w:pPr>
        <w:pStyle w:val="15"/>
        <w:spacing w:line="460" w:lineRule="exact"/>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1、人员数量：</w:t>
      </w:r>
      <w:r>
        <w:rPr>
          <w:rFonts w:hint="eastAsia" w:ascii="仿宋" w:hAnsi="仿宋" w:eastAsia="仿宋" w:cs="仿宋"/>
          <w:color w:val="auto"/>
          <w:sz w:val="24"/>
          <w:szCs w:val="24"/>
          <w:highlight w:val="none"/>
          <w:lang w:val="en-US" w:eastAsia="zh-CN"/>
        </w:rPr>
        <w:t>保安人员</w:t>
      </w:r>
      <w:r>
        <w:rPr>
          <w:rFonts w:hint="eastAsia" w:ascii="仿宋" w:hAnsi="仿宋" w:eastAsia="仿宋" w:cs="仿宋"/>
          <w:color w:val="auto"/>
          <w:sz w:val="24"/>
          <w:szCs w:val="24"/>
          <w:highlight w:val="none"/>
        </w:rPr>
        <w:t>共</w:t>
      </w:r>
      <w:r>
        <w:rPr>
          <w:rFonts w:hint="eastAsia" w:ascii="仿宋" w:hAnsi="仿宋" w:eastAsia="仿宋" w:cs="仿宋"/>
          <w:color w:val="auto"/>
          <w:sz w:val="24"/>
          <w:szCs w:val="24"/>
          <w:highlight w:val="none"/>
          <w:lang w:val="en-US" w:eastAsia="zh-CN"/>
        </w:rPr>
        <w:t>22</w:t>
      </w:r>
      <w:r>
        <w:rPr>
          <w:rFonts w:hint="eastAsia" w:ascii="仿宋" w:hAnsi="仿宋" w:eastAsia="仿宋" w:cs="仿宋"/>
          <w:color w:val="auto"/>
          <w:sz w:val="24"/>
          <w:szCs w:val="24"/>
          <w:highlight w:val="none"/>
        </w:rPr>
        <w:t>人，其中1</w:t>
      </w:r>
      <w:r>
        <w:rPr>
          <w:rFonts w:hint="eastAsia" w:ascii="仿宋" w:hAnsi="仿宋" w:eastAsia="仿宋" w:cs="仿宋"/>
          <w:color w:val="auto"/>
          <w:sz w:val="24"/>
          <w:szCs w:val="24"/>
          <w:highlight w:val="none"/>
          <w:lang w:val="en-US" w:eastAsia="zh-CN"/>
        </w:rPr>
        <w:t>名</w:t>
      </w:r>
      <w:r>
        <w:rPr>
          <w:rFonts w:hint="eastAsia" w:ascii="仿宋" w:hAnsi="仿宋" w:eastAsia="仿宋" w:cs="仿宋"/>
          <w:color w:val="auto"/>
          <w:sz w:val="24"/>
          <w:szCs w:val="24"/>
          <w:highlight w:val="none"/>
        </w:rPr>
        <w:t>保安队长</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兼任项目负责人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11名</w:t>
      </w:r>
      <w:r>
        <w:rPr>
          <w:rFonts w:hint="eastAsia" w:ascii="仿宋" w:hAnsi="仿宋" w:eastAsia="仿宋" w:cs="仿宋"/>
          <w:color w:val="auto"/>
          <w:sz w:val="24"/>
          <w:szCs w:val="24"/>
          <w:highlight w:val="none"/>
        </w:rPr>
        <w:t>保安</w:t>
      </w:r>
      <w:r>
        <w:rPr>
          <w:rFonts w:hint="eastAsia" w:ascii="仿宋" w:hAnsi="仿宋" w:eastAsia="仿宋" w:cs="仿宋"/>
          <w:color w:val="auto"/>
          <w:sz w:val="24"/>
          <w:szCs w:val="24"/>
          <w:highlight w:val="none"/>
          <w:lang w:eastAsia="zh-CN"/>
        </w:rPr>
        <w:t>（其中女性</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名）</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8名</w:t>
      </w:r>
      <w:r>
        <w:rPr>
          <w:rFonts w:hint="eastAsia" w:ascii="仿宋" w:hAnsi="仿宋" w:eastAsia="仿宋" w:cs="仿宋"/>
          <w:color w:val="auto"/>
          <w:sz w:val="24"/>
          <w:szCs w:val="24"/>
          <w:highlight w:val="none"/>
        </w:rPr>
        <w:t>特保</w:t>
      </w:r>
      <w:r>
        <w:rPr>
          <w:rFonts w:hint="eastAsia" w:ascii="仿宋" w:hAnsi="仿宋" w:eastAsia="仿宋" w:cs="仿宋"/>
          <w:color w:val="auto"/>
          <w:sz w:val="24"/>
          <w:szCs w:val="24"/>
          <w:highlight w:val="none"/>
          <w:lang w:eastAsia="zh-CN"/>
        </w:rPr>
        <w:t>（其中女性1名）</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名</w:t>
      </w:r>
      <w:r>
        <w:rPr>
          <w:rFonts w:hint="eastAsia" w:ascii="仿宋" w:hAnsi="仿宋" w:eastAsia="仿宋" w:cs="仿宋"/>
          <w:color w:val="auto"/>
          <w:sz w:val="24"/>
          <w:szCs w:val="24"/>
          <w:highlight w:val="none"/>
        </w:rPr>
        <w:t>消控保安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名</w:t>
      </w:r>
      <w:r>
        <w:rPr>
          <w:rFonts w:hint="eastAsia" w:ascii="仿宋" w:hAnsi="仿宋" w:eastAsia="仿宋" w:cs="仿宋"/>
          <w:color w:val="auto"/>
          <w:sz w:val="24"/>
          <w:szCs w:val="24"/>
          <w:highlight w:val="none"/>
        </w:rPr>
        <w:t>刑场保安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具体如下：</w:t>
      </w:r>
    </w:p>
    <w:p w14:paraId="4CE0969E">
      <w:pPr>
        <w:pStyle w:val="15"/>
        <w:numPr>
          <w:ilvl w:val="0"/>
          <w:numId w:val="13"/>
        </w:numPr>
        <w:spacing w:line="460" w:lineRule="exact"/>
        <w:ind w:left="84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安检</w:t>
      </w:r>
      <w:r>
        <w:rPr>
          <w:rFonts w:hint="eastAsia" w:ascii="仿宋" w:hAnsi="仿宋" w:eastAsia="仿宋" w:cs="仿宋"/>
          <w:color w:val="auto"/>
          <w:sz w:val="24"/>
          <w:szCs w:val="24"/>
          <w:highlight w:val="none"/>
          <w:lang w:val="en-US" w:eastAsia="zh-CN"/>
        </w:rPr>
        <w:t>岗</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名</w:t>
      </w:r>
      <w:r>
        <w:rPr>
          <w:rFonts w:hint="eastAsia" w:ascii="仿宋" w:hAnsi="仿宋" w:eastAsia="仿宋" w:cs="仿宋"/>
          <w:color w:val="auto"/>
          <w:sz w:val="24"/>
          <w:szCs w:val="24"/>
          <w:highlight w:val="none"/>
          <w:lang w:eastAsia="zh-CN"/>
        </w:rPr>
        <w:t>保安</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名</w:t>
      </w:r>
      <w:r>
        <w:rPr>
          <w:rFonts w:hint="eastAsia" w:ascii="仿宋" w:hAnsi="仿宋" w:eastAsia="仿宋" w:cs="仿宋"/>
          <w:color w:val="auto"/>
          <w:sz w:val="24"/>
          <w:szCs w:val="24"/>
          <w:highlight w:val="none"/>
        </w:rPr>
        <w:t>保安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女</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名</w:t>
      </w:r>
      <w:r>
        <w:rPr>
          <w:rFonts w:hint="eastAsia" w:ascii="仿宋" w:hAnsi="仿宋" w:eastAsia="仿宋" w:cs="仿宋"/>
          <w:color w:val="auto"/>
          <w:sz w:val="24"/>
          <w:szCs w:val="24"/>
          <w:highlight w:val="none"/>
        </w:rPr>
        <w:t>特保</w:t>
      </w:r>
      <w:r>
        <w:rPr>
          <w:rFonts w:hint="eastAsia" w:ascii="仿宋" w:hAnsi="仿宋" w:eastAsia="仿宋" w:cs="仿宋"/>
          <w:color w:val="auto"/>
          <w:sz w:val="24"/>
          <w:szCs w:val="24"/>
          <w:highlight w:val="none"/>
          <w:lang w:eastAsia="zh-CN"/>
        </w:rPr>
        <w:t>；</w:t>
      </w:r>
    </w:p>
    <w:p w14:paraId="40349E74">
      <w:pPr>
        <w:pStyle w:val="15"/>
        <w:numPr>
          <w:ilvl w:val="0"/>
          <w:numId w:val="13"/>
        </w:numPr>
        <w:spacing w:line="460" w:lineRule="exact"/>
        <w:ind w:left="84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立案厅：</w:t>
      </w:r>
      <w:r>
        <w:rPr>
          <w:rFonts w:hint="eastAsia" w:ascii="仿宋" w:hAnsi="仿宋" w:eastAsia="仿宋" w:cs="仿宋"/>
          <w:color w:val="auto"/>
          <w:sz w:val="24"/>
          <w:szCs w:val="24"/>
          <w:highlight w:val="none"/>
          <w:lang w:val="en-US" w:eastAsia="zh-CN"/>
        </w:rPr>
        <w:t>2名</w:t>
      </w:r>
      <w:r>
        <w:rPr>
          <w:rFonts w:hint="eastAsia" w:ascii="仿宋" w:hAnsi="仿宋" w:eastAsia="仿宋" w:cs="仿宋"/>
          <w:color w:val="auto"/>
          <w:sz w:val="24"/>
          <w:szCs w:val="24"/>
          <w:highlight w:val="none"/>
          <w:lang w:eastAsia="zh-CN"/>
        </w:rPr>
        <w:t>保安</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名特保（女）</w:t>
      </w:r>
      <w:r>
        <w:rPr>
          <w:rFonts w:hint="eastAsia" w:ascii="仿宋" w:hAnsi="仿宋" w:eastAsia="仿宋" w:cs="仿宋"/>
          <w:color w:val="auto"/>
          <w:sz w:val="24"/>
          <w:szCs w:val="24"/>
          <w:highlight w:val="none"/>
          <w:lang w:eastAsia="zh-CN"/>
        </w:rPr>
        <w:t>；</w:t>
      </w:r>
    </w:p>
    <w:p w14:paraId="15E983A9">
      <w:pPr>
        <w:pStyle w:val="15"/>
        <w:numPr>
          <w:ilvl w:val="0"/>
          <w:numId w:val="13"/>
        </w:numPr>
        <w:spacing w:line="460" w:lineRule="exact"/>
        <w:ind w:left="84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南审判区：</w:t>
      </w: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名</w:t>
      </w:r>
      <w:r>
        <w:rPr>
          <w:rFonts w:hint="eastAsia" w:ascii="仿宋" w:hAnsi="仿宋" w:eastAsia="仿宋" w:cs="仿宋"/>
          <w:color w:val="auto"/>
          <w:sz w:val="24"/>
          <w:szCs w:val="24"/>
          <w:highlight w:val="none"/>
          <w:lang w:eastAsia="zh-CN"/>
        </w:rPr>
        <w:t>保安（</w:t>
      </w:r>
      <w:r>
        <w:rPr>
          <w:rFonts w:hint="eastAsia" w:ascii="仿宋" w:hAnsi="仿宋" w:eastAsia="仿宋" w:cs="仿宋"/>
          <w:color w:val="auto"/>
          <w:sz w:val="24"/>
          <w:szCs w:val="24"/>
          <w:highlight w:val="none"/>
          <w:lang w:val="en-US" w:eastAsia="zh-CN"/>
        </w:rPr>
        <w:t>女</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2名</w:t>
      </w:r>
      <w:r>
        <w:rPr>
          <w:rFonts w:hint="eastAsia" w:ascii="仿宋" w:hAnsi="仿宋" w:eastAsia="仿宋" w:cs="仿宋"/>
          <w:color w:val="auto"/>
          <w:sz w:val="24"/>
          <w:szCs w:val="24"/>
          <w:highlight w:val="none"/>
        </w:rPr>
        <w:t>特保</w:t>
      </w:r>
      <w:r>
        <w:rPr>
          <w:rFonts w:hint="eastAsia" w:ascii="仿宋" w:hAnsi="仿宋" w:eastAsia="仿宋" w:cs="仿宋"/>
          <w:color w:val="auto"/>
          <w:sz w:val="24"/>
          <w:szCs w:val="24"/>
          <w:highlight w:val="none"/>
          <w:lang w:eastAsia="zh-CN"/>
        </w:rPr>
        <w:t>；</w:t>
      </w:r>
    </w:p>
    <w:p w14:paraId="066ED7FF">
      <w:pPr>
        <w:pStyle w:val="15"/>
        <w:numPr>
          <w:ilvl w:val="0"/>
          <w:numId w:val="13"/>
        </w:numPr>
        <w:spacing w:line="460" w:lineRule="exact"/>
        <w:ind w:left="84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南传达室：</w:t>
      </w:r>
      <w:r>
        <w:rPr>
          <w:rFonts w:hint="eastAsia" w:ascii="仿宋" w:hAnsi="仿宋" w:eastAsia="仿宋" w:cs="仿宋"/>
          <w:color w:val="auto"/>
          <w:sz w:val="24"/>
          <w:szCs w:val="24"/>
          <w:highlight w:val="none"/>
          <w:lang w:val="en-US" w:eastAsia="zh-CN"/>
        </w:rPr>
        <w:t>2名保安</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2名特保</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名</w:t>
      </w:r>
      <w:r>
        <w:rPr>
          <w:rFonts w:hint="eastAsia" w:ascii="仿宋" w:hAnsi="仿宋" w:eastAsia="仿宋" w:cs="仿宋"/>
          <w:color w:val="auto"/>
          <w:sz w:val="24"/>
          <w:szCs w:val="24"/>
          <w:highlight w:val="none"/>
        </w:rPr>
        <w:t>特保（站岗）</w:t>
      </w:r>
      <w:r>
        <w:rPr>
          <w:rFonts w:hint="eastAsia" w:ascii="仿宋" w:hAnsi="仿宋" w:eastAsia="仿宋" w:cs="仿宋"/>
          <w:color w:val="auto"/>
          <w:sz w:val="24"/>
          <w:szCs w:val="24"/>
          <w:highlight w:val="none"/>
          <w:lang w:eastAsia="zh-CN"/>
        </w:rPr>
        <w:t>；</w:t>
      </w:r>
    </w:p>
    <w:p w14:paraId="417CF90D">
      <w:pPr>
        <w:pStyle w:val="15"/>
        <w:numPr>
          <w:ilvl w:val="0"/>
          <w:numId w:val="13"/>
        </w:numPr>
        <w:spacing w:line="460" w:lineRule="exact"/>
        <w:ind w:left="84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北大厅：</w:t>
      </w: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lang w:val="en-US" w:eastAsia="zh-CN"/>
        </w:rPr>
        <w:t>名</w:t>
      </w:r>
      <w:r>
        <w:rPr>
          <w:rFonts w:hint="eastAsia" w:ascii="仿宋" w:hAnsi="仿宋" w:eastAsia="仿宋" w:cs="仿宋"/>
          <w:color w:val="auto"/>
          <w:sz w:val="24"/>
          <w:szCs w:val="24"/>
          <w:highlight w:val="none"/>
          <w:lang w:eastAsia="zh-CN"/>
        </w:rPr>
        <w:t>保安（</w:t>
      </w:r>
      <w:r>
        <w:rPr>
          <w:rFonts w:hint="eastAsia" w:ascii="仿宋" w:hAnsi="仿宋" w:eastAsia="仿宋" w:cs="仿宋"/>
          <w:color w:val="auto"/>
          <w:sz w:val="24"/>
          <w:szCs w:val="24"/>
          <w:highlight w:val="none"/>
          <w:lang w:val="en-US" w:eastAsia="zh-CN"/>
        </w:rPr>
        <w:t>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名</w:t>
      </w:r>
      <w:r>
        <w:rPr>
          <w:rFonts w:hint="eastAsia" w:ascii="仿宋" w:hAnsi="仿宋" w:eastAsia="仿宋" w:cs="仿宋"/>
          <w:color w:val="auto"/>
          <w:sz w:val="24"/>
          <w:szCs w:val="24"/>
          <w:highlight w:val="none"/>
          <w:lang w:eastAsia="zh-CN"/>
        </w:rPr>
        <w:t>消控保安</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名保安（</w:t>
      </w:r>
      <w:r>
        <w:rPr>
          <w:rFonts w:hint="eastAsia" w:ascii="仿宋" w:hAnsi="仿宋" w:eastAsia="仿宋" w:cs="仿宋"/>
          <w:color w:val="auto"/>
          <w:sz w:val="24"/>
          <w:szCs w:val="24"/>
          <w:highlight w:val="none"/>
        </w:rPr>
        <w:t>车管员</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eastAsia="zh-CN"/>
        </w:rPr>
        <w:t>；</w:t>
      </w:r>
    </w:p>
    <w:p w14:paraId="31C6665A">
      <w:pPr>
        <w:pStyle w:val="15"/>
        <w:numPr>
          <w:ilvl w:val="0"/>
          <w:numId w:val="13"/>
        </w:numPr>
        <w:spacing w:line="460" w:lineRule="exact"/>
        <w:ind w:left="84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其他：1</w:t>
      </w:r>
      <w:r>
        <w:rPr>
          <w:rFonts w:hint="eastAsia" w:ascii="仿宋" w:hAnsi="仿宋" w:eastAsia="仿宋" w:cs="仿宋"/>
          <w:color w:val="auto"/>
          <w:sz w:val="24"/>
          <w:szCs w:val="24"/>
          <w:highlight w:val="none"/>
          <w:lang w:val="en-US" w:eastAsia="zh-CN"/>
        </w:rPr>
        <w:t>名</w:t>
      </w:r>
      <w:r>
        <w:rPr>
          <w:rFonts w:hint="eastAsia" w:ascii="仿宋" w:hAnsi="仿宋" w:eastAsia="仿宋" w:cs="仿宋"/>
          <w:color w:val="auto"/>
          <w:sz w:val="24"/>
          <w:szCs w:val="24"/>
          <w:highlight w:val="none"/>
        </w:rPr>
        <w:t>保安队长、1</w:t>
      </w:r>
      <w:r>
        <w:rPr>
          <w:rFonts w:hint="eastAsia" w:ascii="仿宋" w:hAnsi="仿宋" w:eastAsia="仿宋" w:cs="仿宋"/>
          <w:color w:val="auto"/>
          <w:sz w:val="24"/>
          <w:szCs w:val="24"/>
          <w:highlight w:val="none"/>
          <w:lang w:val="en-US" w:eastAsia="zh-CN"/>
        </w:rPr>
        <w:t>名</w:t>
      </w:r>
      <w:r>
        <w:rPr>
          <w:rFonts w:hint="eastAsia" w:ascii="仿宋" w:hAnsi="仿宋" w:eastAsia="仿宋" w:cs="仿宋"/>
          <w:color w:val="auto"/>
          <w:sz w:val="24"/>
          <w:szCs w:val="24"/>
          <w:highlight w:val="none"/>
        </w:rPr>
        <w:t>刑场保安（男）、</w:t>
      </w:r>
      <w:r>
        <w:rPr>
          <w:rFonts w:hint="eastAsia" w:ascii="仿宋" w:hAnsi="仿宋" w:eastAsia="仿宋" w:cs="仿宋"/>
          <w:color w:val="auto"/>
          <w:sz w:val="24"/>
          <w:szCs w:val="24"/>
          <w:highlight w:val="none"/>
          <w:lang w:val="en-US" w:eastAsia="zh-CN"/>
        </w:rPr>
        <w:t>1名</w:t>
      </w:r>
      <w:r>
        <w:rPr>
          <w:rFonts w:hint="eastAsia" w:ascii="仿宋" w:hAnsi="仿宋" w:eastAsia="仿宋" w:cs="仿宋"/>
          <w:color w:val="auto"/>
          <w:sz w:val="24"/>
          <w:szCs w:val="24"/>
          <w:highlight w:val="none"/>
        </w:rPr>
        <w:t>特保、</w:t>
      </w: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名</w:t>
      </w:r>
      <w:r>
        <w:rPr>
          <w:rFonts w:hint="eastAsia" w:ascii="仿宋" w:hAnsi="仿宋" w:eastAsia="仿宋" w:cs="仿宋"/>
          <w:color w:val="auto"/>
          <w:sz w:val="24"/>
          <w:szCs w:val="24"/>
          <w:highlight w:val="none"/>
          <w:lang w:eastAsia="zh-CN"/>
        </w:rPr>
        <w:t>保安。</w:t>
      </w:r>
    </w:p>
    <w:p w14:paraId="2DC366E7">
      <w:pPr>
        <w:pStyle w:val="15"/>
        <w:numPr>
          <w:ilvl w:val="0"/>
          <w:numId w:val="14"/>
        </w:numPr>
        <w:spacing w:line="460" w:lineRule="exact"/>
        <w:ind w:firstLine="482"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人员要求：</w:t>
      </w:r>
    </w:p>
    <w:p w14:paraId="1D8599EF">
      <w:pPr>
        <w:pStyle w:val="15"/>
        <w:numPr>
          <w:ilvl w:val="0"/>
          <w:numId w:val="15"/>
        </w:numPr>
        <w:spacing w:line="460" w:lineRule="exact"/>
        <w:ind w:left="84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特保</w:t>
      </w:r>
      <w:r>
        <w:rPr>
          <w:rFonts w:hint="eastAsia" w:ascii="仿宋" w:hAnsi="仿宋" w:eastAsia="仿宋" w:cs="仿宋"/>
          <w:color w:val="auto"/>
          <w:sz w:val="24"/>
          <w:szCs w:val="24"/>
          <w:highlight w:val="none"/>
          <w:lang w:val="en-US" w:eastAsia="zh-CN"/>
        </w:rPr>
        <w:t>人员要求：</w:t>
      </w:r>
      <w:r>
        <w:rPr>
          <w:rFonts w:hint="eastAsia" w:ascii="仿宋" w:hAnsi="仿宋" w:eastAsia="仿宋" w:cs="仿宋"/>
          <w:color w:val="auto"/>
          <w:sz w:val="24"/>
          <w:szCs w:val="24"/>
          <w:highlight w:val="none"/>
        </w:rPr>
        <w:t>年龄40周岁以下，男性</w:t>
      </w:r>
      <w:r>
        <w:rPr>
          <w:rFonts w:hint="eastAsia" w:ascii="仿宋" w:hAnsi="仿宋" w:eastAsia="仿宋" w:cs="仿宋"/>
          <w:color w:val="auto"/>
          <w:sz w:val="24"/>
          <w:szCs w:val="24"/>
          <w:highlight w:val="none"/>
          <w:lang w:val="en-US" w:eastAsia="zh-CN"/>
        </w:rPr>
        <w:t>身高</w:t>
      </w:r>
      <w:r>
        <w:rPr>
          <w:rFonts w:hint="eastAsia" w:ascii="仿宋" w:hAnsi="仿宋" w:eastAsia="仿宋" w:cs="仿宋"/>
          <w:color w:val="auto"/>
          <w:sz w:val="24"/>
          <w:szCs w:val="24"/>
          <w:highlight w:val="none"/>
        </w:rPr>
        <w:t>172</w:t>
      </w:r>
      <w:r>
        <w:rPr>
          <w:rFonts w:hint="eastAsia" w:ascii="仿宋" w:hAnsi="仿宋" w:eastAsia="仿宋" w:cs="仿宋"/>
          <w:color w:val="auto"/>
          <w:sz w:val="24"/>
          <w:szCs w:val="24"/>
          <w:highlight w:val="none"/>
          <w:lang w:val="en-US" w:eastAsia="zh-CN"/>
        </w:rPr>
        <w:t>CM</w:t>
      </w:r>
      <w:r>
        <w:rPr>
          <w:rFonts w:hint="eastAsia" w:ascii="仿宋" w:hAnsi="仿宋" w:eastAsia="仿宋" w:cs="仿宋"/>
          <w:color w:val="auto"/>
          <w:sz w:val="24"/>
          <w:szCs w:val="24"/>
          <w:highlight w:val="none"/>
        </w:rPr>
        <w:t>以上</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女性身高160CM</w:t>
      </w:r>
      <w:r>
        <w:rPr>
          <w:rFonts w:hint="eastAsia" w:ascii="仿宋" w:hAnsi="仿宋" w:eastAsia="仿宋" w:cs="仿宋"/>
          <w:color w:val="auto"/>
          <w:sz w:val="24"/>
          <w:szCs w:val="24"/>
          <w:highlight w:val="none"/>
        </w:rPr>
        <w:t>以上</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需通过体能考核</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党员</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退伍军人优先。</w:t>
      </w:r>
    </w:p>
    <w:p w14:paraId="3801C9B0">
      <w:pPr>
        <w:pStyle w:val="15"/>
        <w:numPr>
          <w:ilvl w:val="0"/>
          <w:numId w:val="15"/>
        </w:numPr>
        <w:spacing w:line="460" w:lineRule="exact"/>
        <w:ind w:left="84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保安</w:t>
      </w:r>
      <w:r>
        <w:rPr>
          <w:rFonts w:hint="eastAsia" w:ascii="仿宋" w:hAnsi="仿宋" w:eastAsia="仿宋" w:cs="仿宋"/>
          <w:color w:val="auto"/>
          <w:sz w:val="24"/>
          <w:szCs w:val="24"/>
          <w:highlight w:val="none"/>
          <w:lang w:val="en-US" w:eastAsia="zh-CN"/>
        </w:rPr>
        <w:t>人员要求：</w:t>
      </w:r>
      <w:r>
        <w:rPr>
          <w:rFonts w:hint="eastAsia" w:ascii="仿宋" w:hAnsi="仿宋" w:eastAsia="仿宋" w:cs="仿宋"/>
          <w:color w:val="auto"/>
          <w:sz w:val="24"/>
          <w:szCs w:val="24"/>
          <w:highlight w:val="none"/>
        </w:rPr>
        <w:t>55周岁以下。</w:t>
      </w:r>
    </w:p>
    <w:p w14:paraId="2D56B676">
      <w:pPr>
        <w:pStyle w:val="15"/>
        <w:numPr>
          <w:ilvl w:val="0"/>
          <w:numId w:val="15"/>
        </w:numPr>
        <w:spacing w:line="460" w:lineRule="exact"/>
        <w:ind w:left="845" w:hanging="425"/>
        <w:rPr>
          <w:rFonts w:hint="eastAsia"/>
          <w:color w:val="auto"/>
          <w:highlight w:val="none"/>
        </w:rPr>
      </w:pPr>
      <w:r>
        <w:rPr>
          <w:rFonts w:hint="eastAsia" w:ascii="仿宋" w:hAnsi="仿宋" w:eastAsia="仿宋" w:cs="仿宋"/>
          <w:color w:val="auto"/>
          <w:sz w:val="24"/>
          <w:szCs w:val="24"/>
          <w:highlight w:val="none"/>
          <w:lang w:val="en-US" w:eastAsia="zh-CN"/>
        </w:rPr>
        <w:t>保安人员需持有保安员上岗证，消防监控岗人员要求持有《建（构）筑物消防员职业资格证书》</w:t>
      </w:r>
    </w:p>
    <w:p w14:paraId="163F1AAA">
      <w:pPr>
        <w:pStyle w:val="15"/>
        <w:numPr>
          <w:ilvl w:val="0"/>
          <w:numId w:val="14"/>
        </w:numPr>
        <w:spacing w:line="460" w:lineRule="exact"/>
        <w:ind w:firstLine="482"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服务内容与要求：</w:t>
      </w:r>
    </w:p>
    <w:p w14:paraId="5FFFC31D">
      <w:pPr>
        <w:pStyle w:val="15"/>
        <w:numPr>
          <w:ilvl w:val="0"/>
          <w:numId w:val="16"/>
        </w:numPr>
        <w:spacing w:line="460" w:lineRule="exact"/>
        <w:ind w:left="845" w:leftChars="0" w:hanging="425" w:firstLineChars="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服务</w:t>
      </w:r>
      <w:r>
        <w:rPr>
          <w:rFonts w:hint="eastAsia" w:ascii="仿宋" w:hAnsi="仿宋" w:eastAsia="仿宋" w:cs="仿宋"/>
          <w:b/>
          <w:bCs/>
          <w:color w:val="auto"/>
          <w:sz w:val="24"/>
          <w:szCs w:val="24"/>
          <w:highlight w:val="none"/>
        </w:rPr>
        <w:t>内容：</w:t>
      </w:r>
    </w:p>
    <w:p w14:paraId="4D2D6EB3">
      <w:pPr>
        <w:numPr>
          <w:ilvl w:val="0"/>
          <w:numId w:val="17"/>
        </w:numPr>
        <w:spacing w:line="360" w:lineRule="auto"/>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做好门卫安保工作，负责入院人员登记和安检工作，做好外来邮件、报纸等收发；</w:t>
      </w:r>
    </w:p>
    <w:p w14:paraId="30320ECF">
      <w:pPr>
        <w:numPr>
          <w:ilvl w:val="0"/>
          <w:numId w:val="17"/>
        </w:numPr>
        <w:spacing w:line="360" w:lineRule="auto"/>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做好院内的安全巡查工作；</w:t>
      </w:r>
    </w:p>
    <w:p w14:paraId="51F97A77">
      <w:pPr>
        <w:numPr>
          <w:ilvl w:val="0"/>
          <w:numId w:val="17"/>
        </w:numPr>
        <w:spacing w:line="360" w:lineRule="auto"/>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引导车辆按规定停放，严禁社会车辆进入；</w:t>
      </w:r>
    </w:p>
    <w:p w14:paraId="04F1497A">
      <w:pPr>
        <w:numPr>
          <w:ilvl w:val="0"/>
          <w:numId w:val="17"/>
        </w:numPr>
        <w:spacing w:line="360" w:lineRule="auto"/>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凡发生盗窃、火警及其他事故，要保护现场采取妥善措施，并及时报告</w:t>
      </w:r>
      <w:r>
        <w:rPr>
          <w:rFonts w:hint="eastAsia" w:ascii="仿宋" w:hAnsi="仿宋" w:eastAsia="仿宋" w:cs="仿宋"/>
          <w:color w:val="auto"/>
          <w:sz w:val="24"/>
          <w:szCs w:val="24"/>
          <w:highlight w:val="none"/>
          <w:lang w:eastAsia="zh-CN"/>
        </w:rPr>
        <w:t>；</w:t>
      </w:r>
    </w:p>
    <w:p w14:paraId="797E7218">
      <w:pPr>
        <w:numPr>
          <w:ilvl w:val="0"/>
          <w:numId w:val="17"/>
        </w:numPr>
        <w:spacing w:line="360" w:lineRule="auto"/>
        <w:ind w:left="1265" w:leftChars="0" w:hanging="425" w:firstLine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承担会务桌椅搬运等内容；</w:t>
      </w:r>
    </w:p>
    <w:p w14:paraId="37663AF1">
      <w:pPr>
        <w:numPr>
          <w:ilvl w:val="0"/>
          <w:numId w:val="17"/>
        </w:numPr>
        <w:spacing w:line="360" w:lineRule="auto"/>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做好法院安排的其他相关工作，服从法院的工作安排。</w:t>
      </w:r>
    </w:p>
    <w:p w14:paraId="20C2F94C">
      <w:pPr>
        <w:pStyle w:val="15"/>
        <w:numPr>
          <w:ilvl w:val="0"/>
          <w:numId w:val="16"/>
        </w:numPr>
        <w:spacing w:line="460" w:lineRule="exact"/>
        <w:ind w:left="845" w:leftChars="0" w:hanging="425" w:firstLineChars="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服务</w:t>
      </w:r>
      <w:r>
        <w:rPr>
          <w:rFonts w:hint="eastAsia" w:ascii="仿宋" w:hAnsi="仿宋" w:eastAsia="仿宋" w:cs="仿宋"/>
          <w:b/>
          <w:bCs/>
          <w:color w:val="auto"/>
          <w:sz w:val="24"/>
          <w:szCs w:val="24"/>
          <w:highlight w:val="none"/>
        </w:rPr>
        <w:t>要求：</w:t>
      </w:r>
    </w:p>
    <w:p w14:paraId="6812F67D">
      <w:pPr>
        <w:pStyle w:val="15"/>
        <w:numPr>
          <w:ilvl w:val="0"/>
          <w:numId w:val="18"/>
        </w:numPr>
        <w:spacing w:line="460" w:lineRule="exact"/>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立门卫交接班制度和消防治安巡查制度。每天开启使用相关报警设备设施，做好服务区域的定时和不定时的巡更，加强对重点部门和重点部位的安全巡查，及时发现处理存在的安全隐患和问题，重大事项及时报告，并做好交接班记录；</w:t>
      </w:r>
    </w:p>
    <w:p w14:paraId="2379A9C5">
      <w:pPr>
        <w:pStyle w:val="15"/>
        <w:numPr>
          <w:ilvl w:val="0"/>
          <w:numId w:val="18"/>
        </w:numPr>
        <w:spacing w:line="460" w:lineRule="exact"/>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按规定要求维持门口秩序及时开关好大门，落实上下班期间门前值勤任务；</w:t>
      </w:r>
    </w:p>
    <w:p w14:paraId="6243F548">
      <w:pPr>
        <w:pStyle w:val="15"/>
        <w:numPr>
          <w:ilvl w:val="0"/>
          <w:numId w:val="18"/>
        </w:numPr>
        <w:spacing w:line="460" w:lineRule="exact"/>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对外单位联系工作的人员（凭介绍信、工作证或其他有效证件），需经接待部门或相关人员同意并办理登记方可进入办公区域。杜绝外来人员进入推销、传销等不正当言行，必要时报告有关部门进行阻止；</w:t>
      </w:r>
    </w:p>
    <w:p w14:paraId="7E448DC3">
      <w:pPr>
        <w:pStyle w:val="15"/>
        <w:numPr>
          <w:ilvl w:val="0"/>
          <w:numId w:val="18"/>
        </w:numPr>
        <w:spacing w:line="460" w:lineRule="exact"/>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对出本大楼、大院的大件物品。检查有关证明或问明有关事由，必要时应征得上级有关部门同意，并做好记录；</w:t>
      </w:r>
    </w:p>
    <w:p w14:paraId="0CDAA975">
      <w:pPr>
        <w:pStyle w:val="15"/>
        <w:numPr>
          <w:ilvl w:val="0"/>
          <w:numId w:val="18"/>
        </w:numPr>
        <w:spacing w:line="460" w:lineRule="exact"/>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严禁外来人员携带剧毒、易燃、易爆、刀具等危险品入内，有该情况立即向上级有关部门报告，并做好防范工作；</w:t>
      </w:r>
    </w:p>
    <w:p w14:paraId="6AF207E2">
      <w:pPr>
        <w:pStyle w:val="15"/>
        <w:numPr>
          <w:ilvl w:val="0"/>
          <w:numId w:val="18"/>
        </w:numPr>
        <w:spacing w:line="460" w:lineRule="exact"/>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做好外来邮件、报刊、杂志和快递等的接收、分发、保管工作（机要件由招标单位人员分发）；</w:t>
      </w:r>
    </w:p>
    <w:p w14:paraId="1D005B7C">
      <w:pPr>
        <w:pStyle w:val="15"/>
        <w:numPr>
          <w:ilvl w:val="0"/>
          <w:numId w:val="18"/>
        </w:numPr>
        <w:spacing w:line="460" w:lineRule="exact"/>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搞好值班室、监控室等部位的清洁卫生，做到整洁有序；</w:t>
      </w:r>
    </w:p>
    <w:p w14:paraId="0072D4AB">
      <w:pPr>
        <w:pStyle w:val="15"/>
        <w:numPr>
          <w:ilvl w:val="0"/>
          <w:numId w:val="18"/>
        </w:numPr>
        <w:spacing w:line="460" w:lineRule="exact"/>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凡发生盗窃、火警及其它事故，要注意保护现场，采取妥善措施，并及时向上级有关部门报告；</w:t>
      </w:r>
    </w:p>
    <w:p w14:paraId="2077F05C">
      <w:pPr>
        <w:pStyle w:val="15"/>
        <w:numPr>
          <w:ilvl w:val="0"/>
          <w:numId w:val="18"/>
        </w:numPr>
        <w:spacing w:line="460" w:lineRule="exact"/>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监控</w:t>
      </w:r>
      <w:r>
        <w:rPr>
          <w:rFonts w:hint="eastAsia" w:ascii="仿宋" w:hAnsi="仿宋" w:eastAsia="仿宋" w:cs="仿宋"/>
          <w:color w:val="auto"/>
          <w:sz w:val="24"/>
          <w:szCs w:val="24"/>
          <w:highlight w:val="none"/>
        </w:rPr>
        <w:t>室值班人员应会使用安防监控报警装置，按操作规程正确操作，发现情况应立即处理；</w:t>
      </w:r>
    </w:p>
    <w:p w14:paraId="177BFD4F">
      <w:pPr>
        <w:pStyle w:val="15"/>
        <w:numPr>
          <w:ilvl w:val="0"/>
          <w:numId w:val="18"/>
        </w:numPr>
        <w:spacing w:line="460" w:lineRule="exact"/>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保安人员不做超出正常职责范围外的事项和在值勤时间出现不安全行为及影响</w:t>
      </w:r>
      <w:r>
        <w:rPr>
          <w:rFonts w:hint="eastAsia" w:ascii="仿宋" w:hAnsi="仿宋" w:eastAsia="仿宋" w:cs="仿宋"/>
          <w:color w:val="auto"/>
          <w:sz w:val="24"/>
          <w:szCs w:val="24"/>
          <w:highlight w:val="none"/>
          <w:lang w:eastAsia="zh-CN"/>
        </w:rPr>
        <w:t>采购人</w:t>
      </w:r>
      <w:r>
        <w:rPr>
          <w:rFonts w:hint="eastAsia" w:ascii="仿宋" w:hAnsi="仿宋" w:eastAsia="仿宋" w:cs="仿宋"/>
          <w:color w:val="auto"/>
          <w:sz w:val="24"/>
          <w:szCs w:val="24"/>
          <w:highlight w:val="none"/>
        </w:rPr>
        <w:t>形象的事件。</w:t>
      </w:r>
    </w:p>
    <w:p w14:paraId="6D60B8A2">
      <w:pPr>
        <w:pStyle w:val="15"/>
        <w:numPr>
          <w:ilvl w:val="0"/>
          <w:numId w:val="18"/>
        </w:numPr>
        <w:spacing w:line="460" w:lineRule="exact"/>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保安人员也需要做好停车场车辆进出管理。</w:t>
      </w:r>
    </w:p>
    <w:p w14:paraId="1F3273E4">
      <w:pPr>
        <w:pStyle w:val="15"/>
        <w:numPr>
          <w:ilvl w:val="0"/>
          <w:numId w:val="16"/>
        </w:numPr>
        <w:spacing w:line="460" w:lineRule="exact"/>
        <w:ind w:left="845" w:leftChars="0" w:hanging="425" w:firstLineChars="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 xml:space="preserve">  其他要求说明</w:t>
      </w:r>
    </w:p>
    <w:p w14:paraId="204CC6C2">
      <w:pPr>
        <w:pStyle w:val="15"/>
        <w:numPr>
          <w:ilvl w:val="0"/>
          <w:numId w:val="19"/>
        </w:numPr>
        <w:spacing w:line="460" w:lineRule="exact"/>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应根据</w:t>
      </w:r>
      <w:r>
        <w:rPr>
          <w:rFonts w:hint="eastAsia" w:ascii="仿宋" w:hAnsi="仿宋" w:eastAsia="仿宋" w:cs="仿宋"/>
          <w:color w:val="auto"/>
          <w:sz w:val="24"/>
          <w:szCs w:val="24"/>
          <w:highlight w:val="none"/>
          <w:lang w:eastAsia="zh-CN"/>
        </w:rPr>
        <w:t>采购人</w:t>
      </w:r>
      <w:r>
        <w:rPr>
          <w:rFonts w:hint="eastAsia" w:ascii="仿宋" w:hAnsi="仿宋" w:eastAsia="仿宋" w:cs="仿宋"/>
          <w:color w:val="auto"/>
          <w:sz w:val="24"/>
          <w:szCs w:val="24"/>
          <w:highlight w:val="none"/>
        </w:rPr>
        <w:t>要求制定实施方案，载明工作计划内容、时间、地点和人员安排等项目，提交采购方确认后组织实施；</w:t>
      </w:r>
    </w:p>
    <w:p w14:paraId="00AA0FB0">
      <w:pPr>
        <w:pStyle w:val="15"/>
        <w:numPr>
          <w:ilvl w:val="0"/>
          <w:numId w:val="19"/>
        </w:numPr>
        <w:spacing w:line="460" w:lineRule="exact"/>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应教育派驻保安人员自觉遵守被服务单位各项管理制度和有关要求。加强遵纪守法和敬业爱岗教育，抓好安全教育的业务操作能力的培训，加强队伍管理，不断提高从业人员思想和业务素质。</w:t>
      </w:r>
    </w:p>
    <w:p w14:paraId="09274F97">
      <w:pPr>
        <w:pStyle w:val="15"/>
        <w:numPr>
          <w:ilvl w:val="0"/>
          <w:numId w:val="19"/>
        </w:numPr>
        <w:spacing w:line="460" w:lineRule="exact"/>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成交供应商须严格按照规范的操作程序、完善的培训体系和质量控制体系以及服务承诺完成项目服务，服从</w:t>
      </w:r>
      <w:r>
        <w:rPr>
          <w:rFonts w:hint="eastAsia" w:ascii="仿宋" w:hAnsi="仿宋" w:eastAsia="仿宋" w:cs="仿宋"/>
          <w:color w:val="auto"/>
          <w:sz w:val="24"/>
          <w:szCs w:val="24"/>
          <w:highlight w:val="none"/>
          <w:lang w:eastAsia="zh-CN"/>
        </w:rPr>
        <w:t>采购人</w:t>
      </w:r>
      <w:r>
        <w:rPr>
          <w:rFonts w:hint="eastAsia" w:ascii="仿宋" w:hAnsi="仿宋" w:eastAsia="仿宋" w:cs="仿宋"/>
          <w:color w:val="auto"/>
          <w:sz w:val="24"/>
          <w:szCs w:val="24"/>
          <w:highlight w:val="none"/>
        </w:rPr>
        <w:t>的管理和保安服务要求，以保证整个服务系统安全、高效、有序运转，并自觉接受</w:t>
      </w:r>
      <w:r>
        <w:rPr>
          <w:rFonts w:hint="eastAsia" w:ascii="仿宋" w:hAnsi="仿宋" w:eastAsia="仿宋" w:cs="仿宋"/>
          <w:color w:val="auto"/>
          <w:sz w:val="24"/>
          <w:szCs w:val="24"/>
          <w:highlight w:val="none"/>
          <w:lang w:eastAsia="zh-CN"/>
        </w:rPr>
        <w:t>采购人</w:t>
      </w:r>
      <w:r>
        <w:rPr>
          <w:rFonts w:hint="eastAsia" w:ascii="仿宋" w:hAnsi="仿宋" w:eastAsia="仿宋" w:cs="仿宋"/>
          <w:color w:val="auto"/>
          <w:sz w:val="24"/>
          <w:szCs w:val="24"/>
          <w:highlight w:val="none"/>
        </w:rPr>
        <w:t>的检查和考核。对不能胜任工作或不履行职责的保安人员有权提出调整，</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应在五个工作日内给予解决。</w:t>
      </w:r>
    </w:p>
    <w:p w14:paraId="07B6780D">
      <w:pPr>
        <w:pStyle w:val="15"/>
        <w:numPr>
          <w:ilvl w:val="0"/>
          <w:numId w:val="19"/>
        </w:numPr>
        <w:spacing w:line="460" w:lineRule="exact"/>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未经采购人同意不得随意调换人员。</w:t>
      </w:r>
    </w:p>
    <w:p w14:paraId="5D58D71B">
      <w:pPr>
        <w:pStyle w:val="15"/>
        <w:numPr>
          <w:ilvl w:val="0"/>
          <w:numId w:val="19"/>
        </w:numPr>
        <w:spacing w:line="460" w:lineRule="exact"/>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成交供应商</w:t>
      </w:r>
      <w:r>
        <w:rPr>
          <w:rFonts w:hint="eastAsia" w:ascii="仿宋" w:hAnsi="仿宋" w:eastAsia="仿宋" w:cs="仿宋"/>
          <w:color w:val="auto"/>
          <w:sz w:val="24"/>
          <w:szCs w:val="24"/>
          <w:highlight w:val="none"/>
          <w:lang w:val="en-US" w:eastAsia="zh-CN"/>
        </w:rPr>
        <w:t>应对安保人员进行专业培训，包括处突训练、消防演习等。</w:t>
      </w:r>
    </w:p>
    <w:p w14:paraId="75ADC831">
      <w:pPr>
        <w:pStyle w:val="15"/>
        <w:numPr>
          <w:ilvl w:val="0"/>
          <w:numId w:val="19"/>
        </w:numPr>
        <w:spacing w:line="460" w:lineRule="exact"/>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成交供应商有责任配合</w:t>
      </w:r>
      <w:r>
        <w:rPr>
          <w:rFonts w:hint="eastAsia" w:ascii="仿宋" w:hAnsi="仿宋" w:eastAsia="仿宋" w:cs="仿宋"/>
          <w:color w:val="auto"/>
          <w:sz w:val="24"/>
          <w:szCs w:val="24"/>
          <w:highlight w:val="none"/>
          <w:lang w:eastAsia="zh-CN"/>
        </w:rPr>
        <w:t>采购人</w:t>
      </w:r>
      <w:r>
        <w:rPr>
          <w:rFonts w:hint="eastAsia" w:ascii="仿宋" w:hAnsi="仿宋" w:eastAsia="仿宋" w:cs="仿宋"/>
          <w:color w:val="auto"/>
          <w:sz w:val="24"/>
          <w:szCs w:val="24"/>
          <w:highlight w:val="none"/>
        </w:rPr>
        <w:t>做好节能工作。</w:t>
      </w:r>
    </w:p>
    <w:p w14:paraId="7A2E94D8">
      <w:pPr>
        <w:numPr>
          <w:ilvl w:val="0"/>
          <w:numId w:val="19"/>
        </w:numPr>
        <w:spacing w:line="460" w:lineRule="exact"/>
        <w:ind w:left="1265" w:leftChars="0" w:hanging="425"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成交供应商须根据</w:t>
      </w:r>
      <w:r>
        <w:rPr>
          <w:rFonts w:hint="eastAsia" w:ascii="仿宋" w:hAnsi="仿宋" w:eastAsia="仿宋" w:cs="仿宋"/>
          <w:color w:val="auto"/>
          <w:sz w:val="24"/>
          <w:szCs w:val="24"/>
          <w:highlight w:val="none"/>
          <w:lang w:eastAsia="zh-CN"/>
        </w:rPr>
        <w:t>采购人</w:t>
      </w:r>
      <w:r>
        <w:rPr>
          <w:rFonts w:hint="eastAsia" w:ascii="仿宋" w:hAnsi="仿宋" w:eastAsia="仿宋" w:cs="仿宋"/>
          <w:color w:val="auto"/>
          <w:sz w:val="24"/>
          <w:szCs w:val="24"/>
          <w:highlight w:val="none"/>
        </w:rPr>
        <w:t>的要求做好有关应急安保服务工作。采购人应对突发事件需要增派人员时，成交供应商必须无条件协助并及时增派到位，增派人员工资参照供应商</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rPr>
        <w:t>文件中的岗位工资按实际天数支付。</w:t>
      </w:r>
    </w:p>
    <w:p w14:paraId="4FAEB1EC">
      <w:pPr>
        <w:pStyle w:val="15"/>
        <w:numPr>
          <w:ilvl w:val="0"/>
          <w:numId w:val="19"/>
        </w:numPr>
        <w:spacing w:line="460" w:lineRule="exact"/>
        <w:ind w:left="1265" w:leftChars="0" w:hanging="425" w:firstLineChars="0"/>
        <w:rPr>
          <w:rFonts w:hint="eastAsia" w:ascii="仿宋" w:hAnsi="仿宋" w:eastAsia="仿宋" w:cs="仿宋"/>
          <w:color w:val="auto"/>
          <w:kern w:val="28"/>
          <w:sz w:val="24"/>
          <w:highlight w:val="none"/>
          <w:lang w:val="en-US" w:eastAsia="zh-CN"/>
        </w:rPr>
      </w:pPr>
      <w:r>
        <w:rPr>
          <w:rFonts w:hint="eastAsia" w:ascii="仿宋" w:hAnsi="仿宋" w:eastAsia="仿宋" w:cs="仿宋"/>
          <w:b/>
          <w:bCs/>
          <w:color w:val="auto"/>
          <w:sz w:val="24"/>
          <w:szCs w:val="24"/>
          <w:highlight w:val="none"/>
        </w:rPr>
        <w:t>成交供应商自行负责其招聘员工的一切工资福利待遇</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安全工作</w:t>
      </w:r>
      <w:r>
        <w:rPr>
          <w:rFonts w:hint="eastAsia" w:ascii="仿宋" w:hAnsi="仿宋" w:eastAsia="仿宋" w:cs="仿宋"/>
          <w:b/>
          <w:bCs/>
          <w:color w:val="auto"/>
          <w:sz w:val="24"/>
          <w:szCs w:val="24"/>
          <w:highlight w:val="none"/>
          <w:lang w:val="en-US" w:eastAsia="zh-CN"/>
        </w:rPr>
        <w:t>及意外险的购买</w:t>
      </w:r>
      <w:r>
        <w:rPr>
          <w:rFonts w:hint="eastAsia" w:ascii="仿宋" w:hAnsi="仿宋" w:eastAsia="仿宋" w:cs="仿宋"/>
          <w:b/>
          <w:bCs/>
          <w:color w:val="auto"/>
          <w:sz w:val="24"/>
          <w:szCs w:val="24"/>
          <w:highlight w:val="none"/>
        </w:rPr>
        <w:t>。如发生工伤、疾病乃至死亡的，一切责任及费用由成交供应商负责。</w:t>
      </w:r>
    </w:p>
    <w:p w14:paraId="1B1C2B30">
      <w:pPr>
        <w:pStyle w:val="68"/>
        <w:ind w:firstLine="480"/>
        <w:jc w:val="left"/>
        <w:rPr>
          <w:rFonts w:hint="eastAsia" w:ascii="仿宋" w:hAnsi="仿宋" w:eastAsia="仿宋" w:cs="仿宋"/>
          <w:color w:val="auto"/>
          <w:sz w:val="24"/>
          <w:highlight w:val="none"/>
        </w:rPr>
      </w:pPr>
    </w:p>
    <w:p w14:paraId="75505226">
      <w:pPr>
        <w:pStyle w:val="68"/>
        <w:ind w:firstLine="482"/>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三</w:t>
      </w:r>
      <w:r>
        <w:rPr>
          <w:rFonts w:hint="eastAsia" w:ascii="仿宋" w:hAnsi="仿宋" w:eastAsia="仿宋" w:cs="仿宋"/>
          <w:b/>
          <w:bCs/>
          <w:color w:val="auto"/>
          <w:sz w:val="24"/>
          <w:highlight w:val="none"/>
        </w:rPr>
        <w:t>、商务要求：</w:t>
      </w:r>
    </w:p>
    <w:tbl>
      <w:tblPr>
        <w:tblStyle w:val="33"/>
        <w:tblpPr w:leftFromText="180" w:rightFromText="180" w:vertAnchor="text" w:horzAnchor="page" w:tblpX="1286" w:tblpY="169"/>
        <w:tblOverlap w:val="never"/>
        <w:tblW w:w="0" w:type="auto"/>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931"/>
        <w:gridCol w:w="7623"/>
      </w:tblGrid>
      <w:tr w14:paraId="32FF087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31" w:type="dxa"/>
            <w:tcBorders>
              <w:tl2br w:val="nil"/>
              <w:tr2bl w:val="nil"/>
            </w:tcBorders>
            <w:vAlign w:val="center"/>
          </w:tcPr>
          <w:p w14:paraId="6CEE54A3">
            <w:pPr>
              <w:snapToGrid w:val="0"/>
              <w:spacing w:line="480" w:lineRule="exact"/>
              <w:jc w:val="center"/>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服务期</w:t>
            </w:r>
          </w:p>
        </w:tc>
        <w:tc>
          <w:tcPr>
            <w:tcW w:w="7623" w:type="dxa"/>
            <w:tcBorders>
              <w:tl2br w:val="nil"/>
              <w:tr2bl w:val="nil"/>
            </w:tcBorders>
            <w:vAlign w:val="center"/>
          </w:tcPr>
          <w:p w14:paraId="7808A1A7">
            <w:pPr>
              <w:snapToGrid w:val="0"/>
              <w:spacing w:line="480" w:lineRule="exact"/>
              <w:ind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自合同签订起1年</w:t>
            </w:r>
          </w:p>
        </w:tc>
      </w:tr>
      <w:tr w14:paraId="396A598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31" w:type="dxa"/>
            <w:tcBorders>
              <w:tl2br w:val="nil"/>
              <w:tr2bl w:val="nil"/>
            </w:tcBorders>
            <w:vAlign w:val="center"/>
          </w:tcPr>
          <w:p w14:paraId="3E764498">
            <w:pPr>
              <w:snapToGrid w:val="0"/>
              <w:spacing w:line="480" w:lineRule="exact"/>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履约保证金</w:t>
            </w:r>
          </w:p>
        </w:tc>
        <w:tc>
          <w:tcPr>
            <w:tcW w:w="7623" w:type="dxa"/>
            <w:tcBorders>
              <w:tl2br w:val="nil"/>
              <w:tr2bl w:val="nil"/>
            </w:tcBorders>
            <w:vAlign w:val="center"/>
          </w:tcPr>
          <w:p w14:paraId="5C5CBE0E">
            <w:pPr>
              <w:spacing w:line="400" w:lineRule="exact"/>
              <w:ind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无</w:t>
            </w:r>
          </w:p>
        </w:tc>
      </w:tr>
      <w:tr w14:paraId="6652567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974" w:hRule="atLeast"/>
        </w:trPr>
        <w:tc>
          <w:tcPr>
            <w:tcW w:w="1931" w:type="dxa"/>
            <w:tcBorders>
              <w:tl2br w:val="nil"/>
              <w:tr2bl w:val="nil"/>
            </w:tcBorders>
            <w:vAlign w:val="center"/>
          </w:tcPr>
          <w:p w14:paraId="21FECBE6">
            <w:pPr>
              <w:tabs>
                <w:tab w:val="left" w:pos="0"/>
              </w:tabs>
              <w:jc w:val="center"/>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付款方式</w:t>
            </w:r>
          </w:p>
        </w:tc>
        <w:tc>
          <w:tcPr>
            <w:tcW w:w="7623" w:type="dxa"/>
            <w:tcBorders>
              <w:tl2br w:val="nil"/>
              <w:tr2bl w:val="nil"/>
            </w:tcBorders>
            <w:vAlign w:val="center"/>
          </w:tcPr>
          <w:p w14:paraId="79815A99">
            <w:pPr>
              <w:tabs>
                <w:tab w:val="left" w:pos="0"/>
              </w:tabs>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合同生效及具备实施条件后</w:t>
            </w:r>
            <w:r>
              <w:rPr>
                <w:rFonts w:hint="eastAsia" w:ascii="仿宋" w:hAnsi="仿宋" w:eastAsia="仿宋" w:cs="仿宋"/>
                <w:color w:val="auto"/>
                <w:sz w:val="24"/>
                <w:highlight w:val="none"/>
                <w:lang w:val="en-US" w:eastAsia="zh-CN"/>
              </w:rPr>
              <w:t>7个工作日</w:t>
            </w:r>
            <w:r>
              <w:rPr>
                <w:rFonts w:hint="eastAsia" w:ascii="仿宋" w:hAnsi="仿宋" w:eastAsia="仿宋" w:cs="仿宋"/>
                <w:color w:val="auto"/>
                <w:sz w:val="24"/>
                <w:highlight w:val="none"/>
              </w:rPr>
              <w:t>内支付</w:t>
            </w:r>
            <w:r>
              <w:rPr>
                <w:rFonts w:hint="eastAsia" w:ascii="仿宋" w:hAnsi="仿宋" w:eastAsia="仿宋" w:cs="仿宋"/>
                <w:color w:val="auto"/>
                <w:sz w:val="24"/>
                <w:highlight w:val="none"/>
                <w:lang w:val="en-US" w:eastAsia="zh-CN"/>
              </w:rPr>
              <w:t>合同金额4</w:t>
            </w:r>
            <w:r>
              <w:rPr>
                <w:rFonts w:hint="eastAsia" w:ascii="仿宋" w:hAnsi="仿宋" w:eastAsia="仿宋" w:cs="仿宋"/>
                <w:color w:val="auto"/>
                <w:sz w:val="24"/>
                <w:highlight w:val="none"/>
              </w:rPr>
              <w:t>0%</w:t>
            </w:r>
            <w:r>
              <w:rPr>
                <w:rFonts w:hint="eastAsia" w:ascii="仿宋" w:hAnsi="仿宋" w:eastAsia="仿宋" w:cs="仿宋"/>
                <w:color w:val="auto"/>
                <w:sz w:val="24"/>
                <w:highlight w:val="none"/>
                <w:lang w:val="en-US" w:eastAsia="zh-CN"/>
              </w:rPr>
              <w:t>的</w:t>
            </w:r>
            <w:r>
              <w:rPr>
                <w:rFonts w:hint="eastAsia" w:ascii="仿宋" w:hAnsi="仿宋" w:eastAsia="仿宋" w:cs="仿宋"/>
                <w:color w:val="auto"/>
                <w:sz w:val="24"/>
                <w:highlight w:val="none"/>
              </w:rPr>
              <w:t>预付款</w:t>
            </w:r>
            <w:r>
              <w:rPr>
                <w:rFonts w:hint="eastAsia" w:ascii="仿宋" w:hAnsi="仿宋" w:eastAsia="仿宋" w:cs="仿宋"/>
                <w:color w:val="auto"/>
                <w:sz w:val="24"/>
                <w:highlight w:val="none"/>
                <w:lang w:eastAsia="zh-CN"/>
              </w:rPr>
              <w:t>。</w:t>
            </w:r>
          </w:p>
          <w:p w14:paraId="6A395F59">
            <w:pPr>
              <w:tabs>
                <w:tab w:val="left" w:pos="0"/>
              </w:tabs>
              <w:rPr>
                <w:rFonts w:hint="eastAsia" w:ascii="仿宋" w:hAnsi="仿宋" w:eastAsia="仿宋" w:cs="仿宋"/>
                <w:color w:val="auto"/>
                <w:sz w:val="24"/>
                <w:highlight w:val="none"/>
              </w:rPr>
            </w:pPr>
            <w:r>
              <w:rPr>
                <w:rFonts w:hint="eastAsia" w:ascii="仿宋" w:hAnsi="仿宋" w:eastAsia="仿宋" w:cs="仿宋"/>
                <w:color w:val="auto"/>
                <w:sz w:val="24"/>
                <w:highlight w:val="none"/>
              </w:rPr>
              <w:t>双方约定每</w:t>
            </w:r>
            <w:r>
              <w:rPr>
                <w:rFonts w:hint="eastAsia" w:ascii="仿宋" w:hAnsi="仿宋" w:eastAsia="仿宋" w:cs="仿宋"/>
                <w:color w:val="auto"/>
                <w:sz w:val="24"/>
                <w:highlight w:val="none"/>
                <w:lang w:eastAsia="zh-CN"/>
              </w:rPr>
              <w:t>季度</w:t>
            </w:r>
            <w:r>
              <w:rPr>
                <w:rFonts w:hint="eastAsia" w:ascii="仿宋" w:hAnsi="仿宋" w:eastAsia="仿宋" w:cs="仿宋"/>
                <w:color w:val="auto"/>
                <w:sz w:val="24"/>
                <w:highlight w:val="none"/>
                <w:lang w:val="en-US" w:eastAsia="zh-CN"/>
              </w:rPr>
              <w:t>支付</w:t>
            </w:r>
            <w:r>
              <w:rPr>
                <w:rFonts w:hint="eastAsia" w:ascii="仿宋" w:hAnsi="仿宋" w:eastAsia="仿宋" w:cs="仿宋"/>
                <w:color w:val="auto"/>
                <w:sz w:val="24"/>
                <w:highlight w:val="none"/>
              </w:rPr>
              <w:t>一次，于</w:t>
            </w:r>
            <w:r>
              <w:rPr>
                <w:rFonts w:hint="eastAsia" w:ascii="仿宋" w:hAnsi="仿宋" w:eastAsia="仿宋" w:cs="仿宋"/>
                <w:color w:val="auto"/>
                <w:sz w:val="24"/>
                <w:highlight w:val="none"/>
                <w:lang w:eastAsia="zh-CN"/>
              </w:rPr>
              <w:t>该季度</w:t>
            </w:r>
            <w:r>
              <w:rPr>
                <w:rFonts w:hint="eastAsia" w:ascii="仿宋" w:hAnsi="仿宋" w:eastAsia="仿宋" w:cs="仿宋"/>
                <w:color w:val="auto"/>
                <w:sz w:val="24"/>
                <w:highlight w:val="none"/>
                <w:lang w:val="en-US" w:eastAsia="zh-CN"/>
              </w:rPr>
              <w:t>末按实</w:t>
            </w:r>
            <w:r>
              <w:rPr>
                <w:rFonts w:hint="eastAsia" w:ascii="仿宋" w:hAnsi="仿宋" w:eastAsia="仿宋" w:cs="仿宋"/>
                <w:color w:val="auto"/>
                <w:sz w:val="24"/>
                <w:highlight w:val="none"/>
              </w:rPr>
              <w:t>结清</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累计超过合同金额的40%起继续按实支付</w:t>
            </w:r>
            <w:r>
              <w:rPr>
                <w:rFonts w:hint="eastAsia" w:ascii="仿宋" w:hAnsi="仿宋" w:eastAsia="仿宋" w:cs="仿宋"/>
                <w:color w:val="auto"/>
                <w:sz w:val="24"/>
                <w:highlight w:val="none"/>
              </w:rPr>
              <w:t>。</w:t>
            </w:r>
          </w:p>
          <w:p w14:paraId="5F9BAB9B">
            <w:pPr>
              <w:tabs>
                <w:tab w:val="left" w:pos="0"/>
              </w:tabs>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注：若</w:t>
            </w:r>
            <w:r>
              <w:rPr>
                <w:rFonts w:hint="eastAsia" w:ascii="仿宋" w:hAnsi="仿宋" w:eastAsia="仿宋" w:cs="仿宋"/>
                <w:b/>
                <w:bCs/>
                <w:color w:val="auto"/>
                <w:sz w:val="24"/>
                <w:highlight w:val="none"/>
                <w:lang w:val="en-US" w:eastAsia="zh-CN"/>
              </w:rPr>
              <w:t>成交</w:t>
            </w:r>
            <w:r>
              <w:rPr>
                <w:rFonts w:hint="eastAsia" w:ascii="仿宋" w:hAnsi="仿宋" w:eastAsia="仿宋" w:cs="仿宋"/>
                <w:b/>
                <w:bCs/>
                <w:color w:val="auto"/>
                <w:sz w:val="24"/>
                <w:highlight w:val="none"/>
              </w:rPr>
              <w:t>供应商明确表示无需预付款或主动要求降低预付款比例的，采购人可不适用前述规定。</w:t>
            </w:r>
          </w:p>
        </w:tc>
      </w:tr>
    </w:tbl>
    <w:p w14:paraId="75DB9D63">
      <w:pPr>
        <w:autoSpaceDE w:val="0"/>
        <w:autoSpaceDN w:val="0"/>
        <w:adjustRightInd w:val="0"/>
        <w:snapToGrid w:val="0"/>
        <w:spacing w:line="380" w:lineRule="exact"/>
        <w:ind w:firstLine="482" w:firstLineChars="200"/>
        <w:textAlignment w:val="bottom"/>
        <w:rPr>
          <w:rFonts w:hint="eastAsia" w:ascii="仿宋" w:hAnsi="仿宋" w:eastAsia="仿宋" w:cs="仿宋"/>
          <w:b/>
          <w:bCs/>
          <w:i/>
          <w:color w:val="auto"/>
          <w:sz w:val="24"/>
          <w:highlight w:val="none"/>
          <w:u w:val="single"/>
        </w:rPr>
      </w:pPr>
      <w:r>
        <w:rPr>
          <w:rFonts w:hint="eastAsia" w:ascii="仿宋" w:hAnsi="仿宋" w:eastAsia="仿宋" w:cs="仿宋"/>
          <w:b/>
          <w:bCs/>
          <w:color w:val="auto"/>
          <w:sz w:val="24"/>
          <w:highlight w:val="none"/>
        </w:rPr>
        <w:t>本磋商文件中带“▲”的条款为实质性条款，供应商必须在响应文件中全部作出响应，否则将作无效标处理</w:t>
      </w:r>
      <w:r>
        <w:rPr>
          <w:rFonts w:hint="eastAsia" w:ascii="仿宋" w:hAnsi="仿宋" w:eastAsia="仿宋" w:cs="仿宋"/>
          <w:b/>
          <w:bCs/>
          <w:color w:val="auto"/>
          <w:sz w:val="24"/>
          <w:highlight w:val="none"/>
          <w:lang w:eastAsia="zh-CN"/>
        </w:rPr>
        <w:t>。</w:t>
      </w:r>
    </w:p>
    <w:p w14:paraId="5F6198B3">
      <w:pPr>
        <w:pStyle w:val="2"/>
        <w:rPr>
          <w:rFonts w:hint="eastAsia" w:ascii="仿宋" w:hAnsi="仿宋" w:eastAsia="仿宋" w:cs="仿宋"/>
          <w:b/>
          <w:bCs/>
          <w:i/>
          <w:color w:val="auto"/>
          <w:sz w:val="24"/>
          <w:highlight w:val="none"/>
          <w:u w:val="single"/>
        </w:rPr>
      </w:pPr>
    </w:p>
    <w:p w14:paraId="62DC68F0">
      <w:pPr>
        <w:rPr>
          <w:rFonts w:hint="eastAsia" w:ascii="仿宋" w:hAnsi="仿宋" w:eastAsia="仿宋" w:cs="仿宋"/>
          <w:b/>
          <w:bCs/>
          <w:i/>
          <w:color w:val="auto"/>
          <w:sz w:val="24"/>
          <w:highlight w:val="none"/>
          <w:u w:val="single"/>
        </w:rPr>
      </w:pPr>
    </w:p>
    <w:p w14:paraId="7A840A70">
      <w:pPr>
        <w:autoSpaceDE w:val="0"/>
        <w:autoSpaceDN w:val="0"/>
        <w:adjustRightInd w:val="0"/>
        <w:snapToGrid w:val="0"/>
        <w:spacing w:after="312" w:afterLines="100"/>
        <w:ind w:firstLine="0" w:firstLineChars="0"/>
        <w:jc w:val="center"/>
        <w:textAlignment w:val="bottom"/>
        <w:outlineLvl w:val="0"/>
        <w:rPr>
          <w:rFonts w:hint="eastAsia" w:ascii="仿宋" w:hAnsi="仿宋" w:eastAsia="仿宋" w:cs="仿宋"/>
          <w:b/>
          <w:bCs/>
          <w:color w:val="auto"/>
          <w:sz w:val="32"/>
          <w:szCs w:val="32"/>
          <w:highlight w:val="none"/>
        </w:rPr>
      </w:pPr>
      <w:bookmarkStart w:id="190" w:name="_Toc18977"/>
      <w:bookmarkStart w:id="191" w:name="_Toc19699"/>
      <w:r>
        <w:rPr>
          <w:rStyle w:val="42"/>
          <w:rFonts w:hint="eastAsia" w:ascii="仿宋" w:hAnsi="仿宋" w:eastAsia="仿宋" w:cs="仿宋"/>
          <w:color w:val="auto"/>
          <w:highlight w:val="none"/>
        </w:rPr>
        <w:t>第四章  磋商原则和程序</w:t>
      </w:r>
      <w:bookmarkEnd w:id="189"/>
      <w:bookmarkEnd w:id="190"/>
      <w:bookmarkEnd w:id="191"/>
    </w:p>
    <w:p w14:paraId="3BF2E840">
      <w:pPr>
        <w:snapToGrid w:val="0"/>
        <w:spacing w:line="360" w:lineRule="auto"/>
        <w:ind w:firstLine="480" w:firstLineChars="200"/>
        <w:rPr>
          <w:rFonts w:hint="eastAsia" w:ascii="仿宋" w:hAnsi="仿宋" w:eastAsia="仿宋" w:cs="仿宋"/>
          <w:bCs/>
          <w:color w:val="auto"/>
          <w:sz w:val="24"/>
          <w:highlight w:val="none"/>
        </w:rPr>
      </w:pPr>
      <w:bookmarkStart w:id="192" w:name="_Toc17438"/>
      <w:bookmarkStart w:id="193" w:name="_Toc6985"/>
      <w:r>
        <w:rPr>
          <w:rFonts w:hint="eastAsia" w:ascii="仿宋" w:hAnsi="仿宋" w:eastAsia="仿宋" w:cs="仿宋"/>
          <w:bCs/>
          <w:color w:val="auto"/>
          <w:sz w:val="24"/>
          <w:highlight w:val="none"/>
        </w:rPr>
        <w:t>根据《中华人民共和国政府采购法》、《政府采购竞争性磋商采购方式管理暂行办法》等要求，遵循公开、公平、公正、科学、择优原则和诚实、信誉、效率的服务原则，制定本评审办法。</w:t>
      </w:r>
      <w:bookmarkEnd w:id="192"/>
      <w:bookmarkEnd w:id="193"/>
    </w:p>
    <w:p w14:paraId="5A59008A">
      <w:pPr>
        <w:widowControl/>
        <w:spacing w:line="360" w:lineRule="auto"/>
        <w:jc w:val="left"/>
        <w:rPr>
          <w:rFonts w:hint="eastAsia" w:ascii="仿宋" w:hAnsi="仿宋" w:eastAsia="仿宋" w:cs="仿宋"/>
          <w:color w:val="auto"/>
          <w:sz w:val="24"/>
          <w:highlight w:val="none"/>
        </w:rPr>
      </w:pPr>
      <w:bookmarkStart w:id="194" w:name="_Toc5294"/>
      <w:bookmarkStart w:id="195" w:name="_Toc282640741"/>
      <w:bookmarkStart w:id="196" w:name="_Toc32137"/>
      <w:bookmarkStart w:id="197" w:name="_Toc402872204"/>
      <w:bookmarkStart w:id="198" w:name="_Toc14739"/>
      <w:r>
        <w:rPr>
          <w:rFonts w:hint="eastAsia" w:ascii="仿宋" w:hAnsi="仿宋" w:eastAsia="仿宋" w:cs="仿宋"/>
          <w:color w:val="auto"/>
          <w:sz w:val="24"/>
          <w:highlight w:val="none"/>
        </w:rPr>
        <w:t>一、</w:t>
      </w:r>
      <w:r>
        <w:rPr>
          <w:rFonts w:hint="eastAsia" w:ascii="仿宋" w:hAnsi="仿宋" w:eastAsia="仿宋" w:cs="仿宋"/>
          <w:b/>
          <w:bCs/>
          <w:color w:val="auto"/>
          <w:kern w:val="0"/>
          <w:sz w:val="24"/>
          <w:highlight w:val="none"/>
          <w:lang w:bidi="ar"/>
        </w:rPr>
        <w:t xml:space="preserve">解密响应文件 </w:t>
      </w:r>
    </w:p>
    <w:p w14:paraId="1642F300">
      <w:pPr>
        <w:widowControl/>
        <w:autoSpaceDE w:val="0"/>
        <w:autoSpaceDN w:val="0"/>
        <w:adjustRightInd w:val="0"/>
        <w:snapToGrid w:val="0"/>
        <w:spacing w:line="360" w:lineRule="auto"/>
        <w:ind w:firstLine="480" w:firstLineChars="200"/>
        <w:jc w:val="left"/>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bidi="ar"/>
        </w:rPr>
        <w:t>1</w:t>
      </w:r>
      <w:r>
        <w:rPr>
          <w:rFonts w:hint="eastAsia" w:ascii="仿宋" w:hAnsi="仿宋" w:eastAsia="仿宋" w:cs="仿宋"/>
          <w:bCs/>
          <w:color w:val="auto"/>
          <w:sz w:val="24"/>
          <w:highlight w:val="none"/>
          <w:lang w:bidi="ar"/>
        </w:rPr>
        <w:t xml:space="preserve">、供应商法定代表人或法定代表人授权代表必须出席在线磋商会议。 </w:t>
      </w:r>
    </w:p>
    <w:p w14:paraId="5A00C56E">
      <w:pPr>
        <w:widowControl/>
        <w:spacing w:line="360" w:lineRule="auto"/>
        <w:ind w:firstLine="480" w:firstLineChars="200"/>
        <w:jc w:val="left"/>
        <w:rPr>
          <w:rFonts w:hint="eastAsia" w:ascii="仿宋" w:hAnsi="仿宋" w:eastAsia="仿宋" w:cs="仿宋"/>
          <w:b/>
          <w:color w:val="auto"/>
          <w:sz w:val="24"/>
          <w:highlight w:val="none"/>
        </w:rPr>
      </w:pPr>
      <w:r>
        <w:rPr>
          <w:rFonts w:hint="eastAsia" w:ascii="仿宋" w:hAnsi="仿宋" w:eastAsia="仿宋" w:cs="仿宋"/>
          <w:bCs/>
          <w:color w:val="auto"/>
          <w:sz w:val="24"/>
          <w:highlight w:val="none"/>
          <w:lang w:val="en-US" w:eastAsia="zh-CN" w:bidi="ar"/>
        </w:rPr>
        <w:t>2</w:t>
      </w:r>
      <w:r>
        <w:rPr>
          <w:rFonts w:hint="eastAsia" w:ascii="仿宋" w:hAnsi="仿宋" w:eastAsia="仿宋" w:cs="仿宋"/>
          <w:bCs/>
          <w:color w:val="auto"/>
          <w:sz w:val="24"/>
          <w:highlight w:val="none"/>
          <w:lang w:bidi="ar"/>
        </w:rPr>
        <w:t>、磋商开始时，代理机构将发出指令，由供应商对已递交的磋商文件进行解密，解密时间为 30 分钟。</w:t>
      </w:r>
      <w:bookmarkEnd w:id="194"/>
      <w:bookmarkEnd w:id="195"/>
      <w:bookmarkEnd w:id="196"/>
      <w:bookmarkEnd w:id="197"/>
      <w:bookmarkEnd w:id="198"/>
    </w:p>
    <w:p w14:paraId="211BE395">
      <w:pPr>
        <w:pStyle w:val="3"/>
        <w:spacing w:before="0" w:after="0" w:line="360" w:lineRule="auto"/>
        <w:rPr>
          <w:rFonts w:hint="eastAsia" w:ascii="仿宋" w:hAnsi="仿宋" w:eastAsia="仿宋" w:cs="仿宋"/>
          <w:color w:val="auto"/>
          <w:sz w:val="24"/>
          <w:szCs w:val="24"/>
          <w:highlight w:val="none"/>
        </w:rPr>
      </w:pPr>
      <w:bookmarkStart w:id="199" w:name="_Toc10100"/>
      <w:bookmarkStart w:id="200" w:name="_Toc282640744"/>
      <w:bookmarkStart w:id="201" w:name="_Toc30369"/>
      <w:bookmarkStart w:id="202" w:name="_Toc23507"/>
      <w:bookmarkStart w:id="203" w:name="_Toc23036"/>
      <w:bookmarkStart w:id="204" w:name="_Toc402872205"/>
      <w:bookmarkStart w:id="205" w:name="_Toc21671"/>
      <w:r>
        <w:rPr>
          <w:rFonts w:hint="eastAsia" w:ascii="仿宋" w:hAnsi="仿宋" w:eastAsia="仿宋" w:cs="仿宋"/>
          <w:color w:val="auto"/>
          <w:sz w:val="24"/>
          <w:szCs w:val="24"/>
          <w:highlight w:val="none"/>
        </w:rPr>
        <w:t>二、磋商小组</w:t>
      </w:r>
      <w:bookmarkEnd w:id="199"/>
      <w:bookmarkEnd w:id="200"/>
      <w:bookmarkEnd w:id="201"/>
      <w:bookmarkEnd w:id="202"/>
      <w:bookmarkEnd w:id="203"/>
      <w:bookmarkEnd w:id="204"/>
      <w:bookmarkEnd w:id="205"/>
    </w:p>
    <w:p w14:paraId="4E804862">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bookmarkStart w:id="206" w:name="_Toc282640745"/>
      <w:bookmarkStart w:id="207" w:name="_Toc414960376"/>
      <w:r>
        <w:rPr>
          <w:rFonts w:hint="eastAsia" w:ascii="仿宋" w:hAnsi="仿宋" w:eastAsia="仿宋" w:cs="仿宋"/>
          <w:bCs/>
          <w:color w:val="auto"/>
          <w:sz w:val="24"/>
          <w:highlight w:val="none"/>
        </w:rPr>
        <w:t xml:space="preserve">    1、本项目磋商小组依法由3人（含）以上奇数的人员组成，磋商小组对响应文件进行审查、质疑、评估和比较。</w:t>
      </w:r>
      <w:bookmarkEnd w:id="206"/>
      <w:bookmarkEnd w:id="207"/>
    </w:p>
    <w:p w14:paraId="41AF3300">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bookmarkStart w:id="208" w:name="_Toc414960377"/>
      <w:r>
        <w:rPr>
          <w:rFonts w:hint="eastAsia" w:ascii="仿宋" w:hAnsi="仿宋" w:eastAsia="仿宋" w:cs="仿宋"/>
          <w:bCs/>
          <w:color w:val="auto"/>
          <w:sz w:val="24"/>
          <w:highlight w:val="none"/>
        </w:rPr>
        <w:t xml:space="preserve">    2、磋商期间，供应商法人代表或授权委托人必须在</w:t>
      </w:r>
      <w:r>
        <w:rPr>
          <w:rFonts w:hint="eastAsia" w:ascii="仿宋" w:hAnsi="仿宋" w:eastAsia="仿宋" w:cs="仿宋"/>
          <w:bCs/>
          <w:color w:val="auto"/>
          <w:sz w:val="24"/>
          <w:highlight w:val="none"/>
          <w:lang w:val="en-US" w:eastAsia="zh-CN"/>
        </w:rPr>
        <w:t>线</w:t>
      </w:r>
      <w:r>
        <w:rPr>
          <w:rFonts w:hint="eastAsia" w:ascii="仿宋" w:hAnsi="仿宋" w:eastAsia="仿宋" w:cs="仿宋"/>
          <w:bCs/>
          <w:color w:val="auto"/>
          <w:sz w:val="24"/>
          <w:highlight w:val="none"/>
        </w:rPr>
        <w:t>，负责解答有关事宜。</w:t>
      </w:r>
      <w:bookmarkEnd w:id="208"/>
    </w:p>
    <w:p w14:paraId="211D366D">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3、磋商过程应严格保密，磋商小组及有关工作人员应严格遵守纪律，不得泄露任何磋商信息。</w:t>
      </w:r>
    </w:p>
    <w:p w14:paraId="4189097A">
      <w:pPr>
        <w:pStyle w:val="3"/>
        <w:spacing w:before="0" w:after="0" w:line="360" w:lineRule="auto"/>
        <w:rPr>
          <w:rFonts w:hint="eastAsia" w:ascii="仿宋" w:hAnsi="仿宋" w:eastAsia="仿宋" w:cs="仿宋"/>
          <w:color w:val="auto"/>
          <w:sz w:val="24"/>
          <w:szCs w:val="24"/>
          <w:highlight w:val="none"/>
        </w:rPr>
      </w:pPr>
      <w:bookmarkStart w:id="209" w:name="_Toc3547"/>
      <w:bookmarkStart w:id="210" w:name="_Toc32173"/>
      <w:bookmarkStart w:id="211" w:name="_Toc13765"/>
      <w:bookmarkStart w:id="212" w:name="_Toc20285"/>
      <w:bookmarkStart w:id="213" w:name="_Toc1211"/>
      <w:bookmarkStart w:id="214" w:name="_Toc402872206"/>
      <w:r>
        <w:rPr>
          <w:rFonts w:hint="eastAsia" w:ascii="仿宋" w:hAnsi="仿宋" w:eastAsia="仿宋" w:cs="仿宋"/>
          <w:color w:val="auto"/>
          <w:sz w:val="24"/>
          <w:szCs w:val="24"/>
          <w:highlight w:val="none"/>
        </w:rPr>
        <w:t>三、竞争性磋商原则与方法</w:t>
      </w:r>
      <w:bookmarkEnd w:id="209"/>
      <w:bookmarkEnd w:id="210"/>
      <w:bookmarkEnd w:id="211"/>
      <w:bookmarkEnd w:id="212"/>
      <w:bookmarkEnd w:id="213"/>
      <w:bookmarkEnd w:id="214"/>
    </w:p>
    <w:p w14:paraId="0F0B29AA">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1、磋商小组将遵循公开、公平、公正的原则，对供应商提供工程、货物或服务的价格、技术性能、工期、安装实施方案、售后服务、培训计划、公司基本情况、履约能力等进行综合分析考评。</w:t>
      </w:r>
    </w:p>
    <w:p w14:paraId="64F7A7A5">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2、磋商小组应客观、公正的对待所有供应商，对所有响应文件评价，均采用相同的程序和标准。</w:t>
      </w:r>
    </w:p>
    <w:p w14:paraId="1D081773">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3、在磋商期间，供应商不得向磋商小组成员询问磋商情况，不得进行旨在影响磋商结果的活动，否则将废除其磋商资格。</w:t>
      </w:r>
    </w:p>
    <w:p w14:paraId="419E05EF">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4、在磋商过程中，磋商小组成员不得与供应商私下交换意见，在竞争性磋商工作结束后，凡与磋商情况有接触的人不得将磋商情况扩散出磋商小组成员之外。</w:t>
      </w:r>
    </w:p>
    <w:p w14:paraId="2DB0028F">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5、采购人不向未成交供应商解释未成交原因，不退还响应文件。</w:t>
      </w:r>
    </w:p>
    <w:p w14:paraId="5A731F8C">
      <w:pPr>
        <w:pStyle w:val="3"/>
        <w:spacing w:before="0" w:after="0" w:line="360" w:lineRule="auto"/>
        <w:rPr>
          <w:rFonts w:hint="eastAsia" w:ascii="仿宋" w:hAnsi="仿宋" w:eastAsia="仿宋" w:cs="仿宋"/>
          <w:color w:val="auto"/>
          <w:sz w:val="24"/>
          <w:szCs w:val="24"/>
          <w:highlight w:val="none"/>
        </w:rPr>
      </w:pPr>
      <w:bookmarkStart w:id="215" w:name="_Toc402872207"/>
      <w:bookmarkStart w:id="216" w:name="_Toc31359"/>
      <w:bookmarkStart w:id="217" w:name="_Toc15794"/>
      <w:bookmarkStart w:id="218" w:name="_Toc21641"/>
      <w:bookmarkStart w:id="219" w:name="_Toc32595"/>
      <w:bookmarkStart w:id="220" w:name="_Toc282640747"/>
      <w:bookmarkStart w:id="221" w:name="_Toc512"/>
      <w:r>
        <w:rPr>
          <w:rFonts w:hint="eastAsia" w:ascii="仿宋" w:hAnsi="仿宋" w:eastAsia="仿宋" w:cs="仿宋"/>
          <w:color w:val="auto"/>
          <w:sz w:val="24"/>
          <w:szCs w:val="24"/>
          <w:highlight w:val="none"/>
        </w:rPr>
        <w:t>四、磋商程序</w:t>
      </w:r>
      <w:bookmarkEnd w:id="215"/>
      <w:bookmarkEnd w:id="216"/>
      <w:bookmarkEnd w:id="217"/>
      <w:bookmarkEnd w:id="218"/>
      <w:bookmarkEnd w:id="219"/>
      <w:bookmarkEnd w:id="220"/>
      <w:bookmarkEnd w:id="221"/>
    </w:p>
    <w:p w14:paraId="4204132C">
      <w:pPr>
        <w:autoSpaceDE w:val="0"/>
        <w:autoSpaceDN w:val="0"/>
        <w:adjustRightInd w:val="0"/>
        <w:snapToGrid w:val="0"/>
        <w:spacing w:line="360" w:lineRule="auto"/>
        <w:ind w:firstLine="480"/>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w:t>
      </w:r>
      <w:r>
        <w:rPr>
          <w:rFonts w:hint="eastAsia" w:ascii="仿宋" w:hAnsi="仿宋" w:eastAsia="仿宋" w:cs="仿宋"/>
          <w:color w:val="auto"/>
          <w:sz w:val="24"/>
          <w:highlight w:val="none"/>
        </w:rPr>
        <w:t>资格性审查，</w:t>
      </w:r>
      <w:r>
        <w:rPr>
          <w:rFonts w:hint="eastAsia" w:ascii="仿宋" w:hAnsi="仿宋" w:eastAsia="仿宋" w:cs="仿宋"/>
          <w:bCs/>
          <w:color w:val="auto"/>
          <w:sz w:val="24"/>
          <w:highlight w:val="none"/>
        </w:rPr>
        <w:t>采购人和采购代理机构依据法律、法规和磋商文件规定，对响应文件中的资格证明等进行审查，以确定竞标人是否具备竞标资格。</w:t>
      </w:r>
    </w:p>
    <w:p w14:paraId="7DD9701A">
      <w:pPr>
        <w:autoSpaceDE w:val="0"/>
        <w:autoSpaceDN w:val="0"/>
        <w:adjustRightInd w:val="0"/>
        <w:snapToGrid w:val="0"/>
        <w:spacing w:line="360" w:lineRule="auto"/>
        <w:ind w:firstLine="480"/>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2、符合性</w:t>
      </w:r>
      <w:r>
        <w:rPr>
          <w:rFonts w:hint="eastAsia" w:ascii="仿宋" w:hAnsi="仿宋" w:eastAsia="仿宋" w:cs="仿宋"/>
          <w:color w:val="auto"/>
          <w:sz w:val="24"/>
          <w:highlight w:val="none"/>
        </w:rPr>
        <w:t>检查，</w:t>
      </w:r>
      <w:r>
        <w:rPr>
          <w:rFonts w:hint="eastAsia" w:ascii="仿宋" w:hAnsi="仿宋" w:eastAsia="仿宋" w:cs="仿宋"/>
          <w:bCs/>
          <w:color w:val="auto"/>
          <w:sz w:val="24"/>
          <w:highlight w:val="none"/>
        </w:rPr>
        <w:t>磋商小组按照商务、技术逐项审核响应文件。</w:t>
      </w:r>
    </w:p>
    <w:p w14:paraId="0EC8305D">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依据竞争性磋商文件的规定，从磋商响应文件的有效性、完整性和对竞争性磋商文件的响应程度进行审查，以确定供应商是否对磋商文件的实质性要求作出响应。</w:t>
      </w:r>
    </w:p>
    <w:p w14:paraId="07C7AD16">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3、磋商顺序和方法</w:t>
      </w:r>
    </w:p>
    <w:p w14:paraId="3870B9F2">
      <w:pPr>
        <w:numPr>
          <w:ilvl w:val="0"/>
          <w:numId w:val="20"/>
        </w:num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磋商的顺序，按供应商签到的时间顺序进行。</w:t>
      </w:r>
    </w:p>
    <w:p w14:paraId="3FF10FFF">
      <w:pPr>
        <w:numPr>
          <w:ilvl w:val="0"/>
          <w:numId w:val="20"/>
        </w:num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开展磋商，按磋商项目内容与各供应商进行2轮磋商。首次报价在响应文件中体现。</w:t>
      </w:r>
    </w:p>
    <w:p w14:paraId="09961F90">
      <w:pPr>
        <w:numPr>
          <w:ilvl w:val="0"/>
          <w:numId w:val="20"/>
        </w:num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磋商小组所有成员集中与单一供应商（</w:t>
      </w:r>
      <w:r>
        <w:rPr>
          <w:rFonts w:hint="eastAsia" w:ascii="仿宋" w:hAnsi="仿宋" w:eastAsia="仿宋" w:cs="仿宋"/>
          <w:b/>
          <w:bCs/>
          <w:color w:val="auto"/>
          <w:sz w:val="24"/>
          <w:highlight w:val="none"/>
        </w:rPr>
        <w:t>供应商法定代表人或法定代表人授权代表必须在线，否则取消其磋商资格</w:t>
      </w:r>
      <w:r>
        <w:rPr>
          <w:rFonts w:hint="eastAsia" w:ascii="仿宋" w:hAnsi="仿宋" w:eastAsia="仿宋" w:cs="仿宋"/>
          <w:bCs/>
          <w:color w:val="auto"/>
          <w:sz w:val="24"/>
          <w:highlight w:val="none"/>
        </w:rPr>
        <w:t>）分别进行磋商。磋商的内容可能涉及服务要求、价格、售后服务、合同草案，采购人的权利和义务、履约期限和方式、资金支付要求、验收标准等。供应商所作的重要答复均应补充以书面形式，并经法定代表人或授权代表签署，作为响应文件的一部分，对供应商有约束力。在磋商中，磋商的任何一方不得透露与磋商有关的其他供应商的技术资料、价格和其他信息。</w:t>
      </w:r>
    </w:p>
    <w:p w14:paraId="68CA166F">
      <w:pPr>
        <w:numPr>
          <w:ilvl w:val="0"/>
          <w:numId w:val="20"/>
        </w:num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为了更好地实现采购目标，磋商小组可以修改竞争性磋商文件，对采购需求、合同草案作出实质性变动，并以</w:t>
      </w:r>
      <w:r>
        <w:rPr>
          <w:rFonts w:hint="eastAsia" w:ascii="仿宋" w:hAnsi="仿宋" w:eastAsia="仿宋" w:cs="仿宋"/>
          <w:bCs/>
          <w:color w:val="auto"/>
          <w:sz w:val="24"/>
          <w:highlight w:val="none"/>
          <w:lang w:val="en-US" w:eastAsia="zh-CN"/>
        </w:rPr>
        <w:t>电话</w:t>
      </w:r>
      <w:r>
        <w:rPr>
          <w:rFonts w:hint="eastAsia" w:ascii="仿宋" w:hAnsi="仿宋" w:eastAsia="仿宋" w:cs="仿宋"/>
          <w:bCs/>
          <w:color w:val="auto"/>
          <w:sz w:val="24"/>
          <w:highlight w:val="none"/>
        </w:rPr>
        <w:t>形式通知所有参加磋商的供应商。供应商收到修改采购文件的通知后，可以决定是否继续参加磋商活动。</w:t>
      </w:r>
    </w:p>
    <w:p w14:paraId="57108206">
      <w:pPr>
        <w:numPr>
          <w:ilvl w:val="0"/>
          <w:numId w:val="20"/>
        </w:num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供应商应当按照磋商文件的变动情况和磋商小组的要求重新提交响应文件，并由其法定代表人或授权代表签字或者加盖公章。</w:t>
      </w:r>
    </w:p>
    <w:p w14:paraId="3D525329">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4、磋商小组汇总并讨论审核情况，确定供应商是否继续进行磋商。</w:t>
      </w:r>
    </w:p>
    <w:p w14:paraId="019BA1A5">
      <w:pPr>
        <w:autoSpaceDE w:val="0"/>
        <w:autoSpaceDN w:val="0"/>
        <w:adjustRightInd w:val="0"/>
        <w:snapToGrid w:val="0"/>
        <w:spacing w:line="360" w:lineRule="auto"/>
        <w:ind w:firstLine="480"/>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5、磋商小组在磋商结束后，要求所有继续参加磋商的供应商在规定时间内提交最后报价。超过规定时间提交的报价作无效处理。</w:t>
      </w:r>
    </w:p>
    <w:p w14:paraId="3C560225">
      <w:pPr>
        <w:autoSpaceDE w:val="0"/>
        <w:autoSpaceDN w:val="0"/>
        <w:adjustRightInd w:val="0"/>
        <w:snapToGrid w:val="0"/>
        <w:spacing w:line="360" w:lineRule="auto"/>
        <w:ind w:firstLine="480"/>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6、已提交响应文件的供应商，在提交最后报价之前，可以根据磋商情况退出磋商。</w:t>
      </w:r>
    </w:p>
    <w:p w14:paraId="33152335">
      <w:pPr>
        <w:autoSpaceDE w:val="0"/>
        <w:autoSpaceDN w:val="0"/>
        <w:adjustRightInd w:val="0"/>
        <w:snapToGrid w:val="0"/>
        <w:spacing w:line="360" w:lineRule="auto"/>
        <w:ind w:firstLine="480"/>
        <w:textAlignment w:val="bottom"/>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注：最后报价应通过政采云系统进行在线磋商、报价，若因系统原因无法在线磋商、报价时，可通过如下方式：代理机构通过电子邮箱（</w:t>
      </w:r>
      <w:r>
        <w:rPr>
          <w:rFonts w:hint="eastAsia" w:ascii="仿宋" w:hAnsi="仿宋" w:eastAsia="仿宋" w:cs="仿宋"/>
          <w:b/>
          <w:color w:val="auto"/>
          <w:sz w:val="24"/>
          <w:highlight w:val="none"/>
          <w:lang w:val="en-US" w:eastAsia="zh-CN"/>
        </w:rPr>
        <w:t>2756977296</w:t>
      </w:r>
      <w:r>
        <w:rPr>
          <w:rFonts w:hint="eastAsia" w:ascii="仿宋" w:hAnsi="仿宋" w:eastAsia="仿宋" w:cs="仿宋"/>
          <w:b/>
          <w:color w:val="auto"/>
          <w:sz w:val="24"/>
          <w:highlight w:val="none"/>
        </w:rPr>
        <w:t>@qq.com）向各供应商指定的电子邮箱发送最终报价的通知函，供应商在收到此函后 30 分钟内通过指定的电子邮箱进行最后报价，最后报价应按照本磋商文件规定的格式并以邮件的形式提供，且由法定代表人或其授权代表签字确认并加盖公章，最后报价由代理机构统一提交至磋商小组，并宣读最后报价，采购人及监督人在最后报价表上签字确认；</w:t>
      </w:r>
    </w:p>
    <w:p w14:paraId="70D25EA7">
      <w:pPr>
        <w:autoSpaceDE w:val="0"/>
        <w:autoSpaceDN w:val="0"/>
        <w:adjustRightInd w:val="0"/>
        <w:snapToGrid w:val="0"/>
        <w:spacing w:line="360" w:lineRule="auto"/>
        <w:ind w:firstLine="480"/>
        <w:textAlignment w:val="bottom"/>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各供应商应事先做好充足准备，如未能在规定的时间内进行最后报价，作自动放弃</w:t>
      </w:r>
      <w:r>
        <w:rPr>
          <w:rFonts w:hint="eastAsia" w:ascii="仿宋" w:hAnsi="仿宋" w:eastAsia="仿宋" w:cs="仿宋"/>
          <w:b/>
          <w:color w:val="auto"/>
          <w:sz w:val="24"/>
          <w:highlight w:val="none"/>
          <w:lang w:val="en-US" w:eastAsia="zh-CN"/>
        </w:rPr>
        <w:t>投标</w:t>
      </w:r>
      <w:r>
        <w:rPr>
          <w:rFonts w:hint="eastAsia" w:ascii="仿宋" w:hAnsi="仿宋" w:eastAsia="仿宋" w:cs="仿宋"/>
          <w:b/>
          <w:color w:val="auto"/>
          <w:sz w:val="24"/>
          <w:highlight w:val="none"/>
        </w:rPr>
        <w:t>处理。</w:t>
      </w:r>
    </w:p>
    <w:p w14:paraId="687E6E74">
      <w:pPr>
        <w:pStyle w:val="3"/>
        <w:spacing w:before="0" w:after="0" w:line="360" w:lineRule="auto"/>
        <w:rPr>
          <w:rFonts w:hint="eastAsia" w:ascii="仿宋" w:hAnsi="仿宋" w:eastAsia="仿宋" w:cs="仿宋"/>
          <w:color w:val="auto"/>
          <w:sz w:val="24"/>
          <w:szCs w:val="24"/>
          <w:highlight w:val="none"/>
        </w:rPr>
      </w:pPr>
      <w:bookmarkStart w:id="222" w:name="_Toc26458"/>
      <w:bookmarkStart w:id="223" w:name="_Toc16129"/>
      <w:bookmarkStart w:id="224" w:name="_Toc31183"/>
      <w:bookmarkStart w:id="225" w:name="_Toc402872208"/>
      <w:bookmarkStart w:id="226" w:name="_Toc9609"/>
      <w:bookmarkStart w:id="227" w:name="_Toc30295"/>
      <w:bookmarkStart w:id="228" w:name="_Toc282640735"/>
      <w:r>
        <w:rPr>
          <w:rFonts w:hint="eastAsia" w:ascii="仿宋" w:hAnsi="仿宋" w:eastAsia="仿宋" w:cs="仿宋"/>
          <w:color w:val="auto"/>
          <w:sz w:val="24"/>
          <w:szCs w:val="24"/>
          <w:highlight w:val="none"/>
        </w:rPr>
        <w:t>五、磋商文件的澄清</w:t>
      </w:r>
      <w:bookmarkEnd w:id="222"/>
      <w:bookmarkEnd w:id="223"/>
      <w:bookmarkEnd w:id="224"/>
      <w:bookmarkEnd w:id="225"/>
      <w:bookmarkEnd w:id="226"/>
      <w:bookmarkEnd w:id="227"/>
      <w:bookmarkEnd w:id="228"/>
    </w:p>
    <w:p w14:paraId="179E19CF">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1、供应商对磋商文件如有疑义的，应在规定的答疑时间内以书面形式告知采购人，以便及时对磋商文件作出澄清。</w:t>
      </w:r>
    </w:p>
    <w:p w14:paraId="00F67879">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2、在磋商期间，磋商小组有权要求供应商对其提交的文件资料进行澄清。供应商应派授权代表和有关专业人员接受询问，并对有关内容进行澄清。</w:t>
      </w:r>
    </w:p>
    <w:p w14:paraId="54E83481">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3、对在澄清中涉及到的商业秘密，磋商小组成员及参加磋商的有关工作人员负有保密责任。</w:t>
      </w:r>
    </w:p>
    <w:p w14:paraId="588747F5">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4、磋商小组以书面形式对磋商文件作出的修改或补充，与磋商文件具有同等法律效力。</w:t>
      </w:r>
    </w:p>
    <w:p w14:paraId="0C92B439">
      <w:pPr>
        <w:pStyle w:val="3"/>
        <w:spacing w:before="0" w:after="0" w:line="360" w:lineRule="auto"/>
        <w:rPr>
          <w:rFonts w:hint="eastAsia" w:ascii="仿宋" w:hAnsi="仿宋" w:eastAsia="仿宋" w:cs="仿宋"/>
          <w:color w:val="auto"/>
          <w:sz w:val="24"/>
          <w:szCs w:val="24"/>
          <w:highlight w:val="none"/>
        </w:rPr>
      </w:pPr>
      <w:bookmarkStart w:id="229" w:name="_Toc6024"/>
      <w:bookmarkStart w:id="230" w:name="_Toc29361"/>
      <w:bookmarkStart w:id="231" w:name="_Toc24587"/>
      <w:bookmarkStart w:id="232" w:name="_Toc32123"/>
      <w:bookmarkStart w:id="233" w:name="_Toc16835"/>
      <w:bookmarkStart w:id="234" w:name="_Toc402872209"/>
      <w:r>
        <w:rPr>
          <w:rFonts w:hint="eastAsia" w:ascii="仿宋" w:hAnsi="仿宋" w:eastAsia="仿宋" w:cs="仿宋"/>
          <w:color w:val="auto"/>
          <w:sz w:val="24"/>
          <w:szCs w:val="24"/>
          <w:highlight w:val="none"/>
        </w:rPr>
        <w:t>六、确定供应商办法</w:t>
      </w:r>
      <w:bookmarkEnd w:id="229"/>
      <w:bookmarkEnd w:id="230"/>
      <w:bookmarkEnd w:id="231"/>
      <w:bookmarkEnd w:id="232"/>
      <w:bookmarkEnd w:id="233"/>
      <w:bookmarkEnd w:id="234"/>
    </w:p>
    <w:p w14:paraId="5EF578D1">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bookmarkStart w:id="235" w:name="_Toc389216170"/>
      <w:bookmarkStart w:id="236" w:name="_Toc282640748"/>
      <w:bookmarkStart w:id="237" w:name="_Toc402872210"/>
      <w:r>
        <w:rPr>
          <w:rFonts w:hint="eastAsia" w:ascii="仿宋" w:hAnsi="仿宋" w:eastAsia="仿宋" w:cs="仿宋"/>
          <w:bCs/>
          <w:color w:val="auto"/>
          <w:sz w:val="24"/>
          <w:highlight w:val="none"/>
        </w:rPr>
        <w:t xml:space="preserve">    本项目由采购人授权磋商小组直接确定成交供应商。</w:t>
      </w:r>
    </w:p>
    <w:p w14:paraId="1EB03E3D">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本次评审采用综合评分法，即按照在质量和服务均能满足竞争性磋商文件实质性要求且综合得分由高到低的原则确定成交供应商。</w:t>
      </w:r>
    </w:p>
    <w:p w14:paraId="338BC9C6">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磋商结束后，磋商小组拟制评审报告。</w:t>
      </w:r>
    </w:p>
    <w:p w14:paraId="54387E35">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采购代理机构在评审结束后2个工作日内在相关网站上发布成交公告，同时发出成交通知书。</w:t>
      </w:r>
    </w:p>
    <w:p w14:paraId="3F20629F">
      <w:pPr>
        <w:pStyle w:val="3"/>
        <w:spacing w:before="0" w:after="0" w:line="360" w:lineRule="auto"/>
        <w:rPr>
          <w:rFonts w:hint="eastAsia" w:ascii="仿宋" w:hAnsi="仿宋" w:eastAsia="仿宋" w:cs="仿宋"/>
          <w:color w:val="auto"/>
          <w:sz w:val="24"/>
          <w:szCs w:val="24"/>
          <w:highlight w:val="none"/>
        </w:rPr>
      </w:pPr>
      <w:bookmarkStart w:id="238" w:name="_Toc17287"/>
      <w:bookmarkStart w:id="239" w:name="_Toc14768"/>
      <w:bookmarkStart w:id="240" w:name="_Toc12958"/>
      <w:bookmarkStart w:id="241" w:name="_Toc177"/>
      <w:bookmarkStart w:id="242" w:name="_Toc18677"/>
      <w:r>
        <w:rPr>
          <w:rFonts w:hint="eastAsia" w:ascii="仿宋" w:hAnsi="仿宋" w:eastAsia="仿宋" w:cs="仿宋"/>
          <w:color w:val="auto"/>
          <w:sz w:val="24"/>
          <w:szCs w:val="24"/>
          <w:highlight w:val="none"/>
        </w:rPr>
        <w:t>七、综合评分法</w:t>
      </w:r>
      <w:bookmarkEnd w:id="235"/>
      <w:bookmarkEnd w:id="236"/>
      <w:bookmarkEnd w:id="237"/>
      <w:bookmarkEnd w:id="238"/>
      <w:bookmarkEnd w:id="239"/>
      <w:bookmarkEnd w:id="240"/>
      <w:bookmarkEnd w:id="241"/>
      <w:bookmarkEnd w:id="242"/>
    </w:p>
    <w:p w14:paraId="5A9460F7">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为公正、公平、科学地选择成交供应商，根据《中华人民共和国政府采购法》等有关法律法规的规定，并结合本项目的实际，制定本办法。</w:t>
      </w:r>
    </w:p>
    <w:p w14:paraId="36A688AD">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r>
        <w:rPr>
          <w:rFonts w:hint="eastAsia" w:ascii="仿宋" w:hAnsi="仿宋" w:eastAsia="仿宋" w:cs="仿宋"/>
          <w:b/>
          <w:color w:val="auto"/>
          <w:sz w:val="24"/>
          <w:highlight w:val="none"/>
        </w:rPr>
        <w:t xml:space="preserve">  （一）、总则</w:t>
      </w:r>
    </w:p>
    <w:p w14:paraId="2AA50DB4">
      <w:pPr>
        <w:spacing w:line="360" w:lineRule="auto"/>
        <w:ind w:firstLine="482" w:firstLineChars="200"/>
        <w:jc w:val="left"/>
        <w:rPr>
          <w:rFonts w:hint="eastAsia" w:ascii="仿宋" w:hAnsi="仿宋" w:eastAsia="仿宋" w:cs="仿宋"/>
          <w:bCs/>
          <w:color w:val="auto"/>
          <w:sz w:val="24"/>
          <w:highlight w:val="none"/>
        </w:rPr>
      </w:pPr>
      <w:r>
        <w:rPr>
          <w:rFonts w:hint="eastAsia" w:ascii="仿宋" w:hAnsi="仿宋" w:eastAsia="仿宋" w:cs="仿宋"/>
          <w:b/>
          <w:bCs/>
          <w:color w:val="auto"/>
          <w:sz w:val="24"/>
          <w:highlight w:val="none"/>
        </w:rPr>
        <w:t>本次评标采用综合评分法，总分为100分，其中价格分</w:t>
      </w:r>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rPr>
        <w:t>0分，技术、商务及资信分</w:t>
      </w:r>
      <w:r>
        <w:rPr>
          <w:rFonts w:hint="eastAsia" w:ascii="仿宋" w:hAnsi="仿宋" w:eastAsia="仿宋" w:cs="仿宋"/>
          <w:b/>
          <w:bCs/>
          <w:color w:val="auto"/>
          <w:sz w:val="24"/>
          <w:highlight w:val="none"/>
          <w:lang w:val="en-US" w:eastAsia="zh-CN"/>
        </w:rPr>
        <w:t>8</w:t>
      </w:r>
      <w:r>
        <w:rPr>
          <w:rFonts w:hint="eastAsia" w:ascii="仿宋" w:hAnsi="仿宋" w:eastAsia="仿宋" w:cs="仿宋"/>
          <w:b/>
          <w:bCs/>
          <w:color w:val="auto"/>
          <w:sz w:val="24"/>
          <w:highlight w:val="none"/>
        </w:rPr>
        <w:t>0分</w:t>
      </w:r>
      <w:r>
        <w:rPr>
          <w:rFonts w:hint="eastAsia" w:ascii="仿宋" w:hAnsi="仿宋" w:eastAsia="仿宋" w:cs="仿宋"/>
          <w:color w:val="auto"/>
          <w:sz w:val="24"/>
          <w:highlight w:val="none"/>
        </w:rPr>
        <w:t>。合格供应商的评标得分为各项目汇总得分，评分得分最高的供应商为</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人。</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候选资格按评标得分由高到低顺序排列，得分相同的，按竞标报价由低到高顺序排列；得分且竞标报价相同的，按技术得分由高到低顺序排列。排名第一的供应商为第一</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候选人,其他供应商</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候选资格依此类推。第一</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候选人放弃</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或者因不可抗力提出不能履行合同，采购人可以确定第二</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候选人为</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人，排名第二的</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候选人因前款同样的原因不能签订合同，采购人可以确定排名第三的</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候选人为</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人。</w:t>
      </w:r>
      <w:r>
        <w:rPr>
          <w:rFonts w:hint="eastAsia" w:ascii="仿宋" w:hAnsi="仿宋" w:eastAsia="仿宋" w:cs="仿宋"/>
          <w:bCs/>
          <w:color w:val="auto"/>
          <w:sz w:val="24"/>
          <w:highlight w:val="none"/>
        </w:rPr>
        <w:t>评分过程中采用四舍五入法，并保留小数2位。</w:t>
      </w:r>
    </w:p>
    <w:p w14:paraId="7AAC22B9">
      <w:pPr>
        <w:spacing w:line="360" w:lineRule="auto"/>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 （二）、计算方法：</w:t>
      </w:r>
    </w:p>
    <w:p w14:paraId="0A799CA5">
      <w:pPr>
        <w:autoSpaceDE w:val="0"/>
        <w:autoSpaceDN w:val="0"/>
        <w:adjustRightInd w:val="0"/>
        <w:snapToGrid w:val="0"/>
        <w:spacing w:line="360" w:lineRule="auto"/>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r>
        <w:rPr>
          <w:rFonts w:hint="eastAsia" w:ascii="仿宋" w:hAnsi="仿宋" w:eastAsia="仿宋" w:cs="仿宋"/>
          <w:b/>
          <w:color w:val="auto"/>
          <w:sz w:val="24"/>
          <w:highlight w:val="none"/>
        </w:rPr>
        <w:t xml:space="preserve">  1、价格部分：</w:t>
      </w: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0分</w:t>
      </w:r>
    </w:p>
    <w:p w14:paraId="09787C31">
      <w:pPr>
        <w:numPr>
          <w:ilvl w:val="255"/>
          <w:numId w:val="0"/>
        </w:numPr>
        <w:autoSpaceDE w:val="0"/>
        <w:autoSpaceDN w:val="0"/>
        <w:adjustRightInd w:val="0"/>
        <w:snapToGrid w:val="0"/>
        <w:spacing w:line="360" w:lineRule="auto"/>
        <w:ind w:firstLine="480" w:firstLineChars="200"/>
        <w:jc w:val="left"/>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以有效磋商报价最低的报价为基准价，其价格分为满分</w:t>
      </w:r>
      <w:r>
        <w:rPr>
          <w:rFonts w:hint="eastAsia" w:ascii="仿宋" w:hAnsi="仿宋" w:eastAsia="仿宋" w:cs="仿宋"/>
          <w:bCs/>
          <w:color w:val="auto"/>
          <w:sz w:val="24"/>
          <w:highlight w:val="none"/>
          <w:lang w:val="en-US" w:eastAsia="zh-CN"/>
        </w:rPr>
        <w:t>2</w:t>
      </w:r>
      <w:r>
        <w:rPr>
          <w:rFonts w:hint="eastAsia" w:ascii="仿宋" w:hAnsi="仿宋" w:eastAsia="仿宋" w:cs="仿宋"/>
          <w:bCs/>
          <w:color w:val="auto"/>
          <w:sz w:val="24"/>
          <w:highlight w:val="none"/>
        </w:rPr>
        <w:t>0分。其他供应商的报价分按照下列公式计算：报价得分=（基准价/磋商报价）×</w:t>
      </w:r>
      <w:r>
        <w:rPr>
          <w:rFonts w:hint="eastAsia" w:ascii="仿宋" w:hAnsi="仿宋" w:eastAsia="仿宋" w:cs="仿宋"/>
          <w:bCs/>
          <w:color w:val="auto"/>
          <w:sz w:val="24"/>
          <w:highlight w:val="none"/>
          <w:lang w:val="en-US" w:eastAsia="zh-CN"/>
        </w:rPr>
        <w:t>2</w:t>
      </w:r>
      <w:r>
        <w:rPr>
          <w:rFonts w:hint="eastAsia" w:ascii="仿宋" w:hAnsi="仿宋" w:eastAsia="仿宋" w:cs="仿宋"/>
          <w:bCs/>
          <w:color w:val="auto"/>
          <w:sz w:val="24"/>
          <w:highlight w:val="none"/>
        </w:rPr>
        <w:t>0%×100</w:t>
      </w:r>
    </w:p>
    <w:p w14:paraId="0405729F">
      <w:pPr>
        <w:pStyle w:val="1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评标委员会在评审时发现供应商投标报价明显低于成本价的，应当要求供应商书面说明并提供相关证明材料。供应商不能当场合理说明原因并提供证明材料的，评标委员会应将该供应商的</w:t>
      </w:r>
      <w:r>
        <w:rPr>
          <w:rFonts w:hint="eastAsia" w:ascii="仿宋" w:hAnsi="仿宋" w:eastAsia="仿宋" w:cs="仿宋"/>
          <w:b/>
          <w:color w:val="auto"/>
          <w:sz w:val="24"/>
          <w:highlight w:val="none"/>
          <w:lang w:val="en-US" w:eastAsia="zh-CN"/>
        </w:rPr>
        <w:t>响应</w:t>
      </w:r>
      <w:r>
        <w:rPr>
          <w:rFonts w:hint="eastAsia" w:ascii="仿宋" w:hAnsi="仿宋" w:eastAsia="仿宋" w:cs="仿宋"/>
          <w:b/>
          <w:color w:val="auto"/>
          <w:sz w:val="24"/>
          <w:highlight w:val="none"/>
        </w:rPr>
        <w:t>文件作无效处理，并在评审报告中说明。</w:t>
      </w:r>
    </w:p>
    <w:p w14:paraId="1F7E3403">
      <w:pPr>
        <w:pStyle w:val="10"/>
        <w:rPr>
          <w:rFonts w:hint="eastAsia" w:ascii="仿宋" w:hAnsi="仿宋" w:eastAsia="仿宋" w:cs="仿宋"/>
          <w:color w:val="auto"/>
          <w:highlight w:val="none"/>
        </w:rPr>
      </w:pPr>
      <w:r>
        <w:rPr>
          <w:rFonts w:hint="eastAsia" w:ascii="仿宋" w:hAnsi="仿宋" w:eastAsia="仿宋" w:cs="仿宋"/>
          <w:b/>
          <w:color w:val="auto"/>
          <w:sz w:val="24"/>
          <w:highlight w:val="none"/>
        </w:rPr>
        <w:t xml:space="preserve">  2、技术、商务及资信分（</w:t>
      </w:r>
      <w:r>
        <w:rPr>
          <w:rFonts w:hint="eastAsia" w:ascii="仿宋" w:hAnsi="仿宋" w:eastAsia="仿宋" w:cs="仿宋"/>
          <w:b/>
          <w:color w:val="auto"/>
          <w:sz w:val="24"/>
          <w:highlight w:val="none"/>
          <w:lang w:val="en-US" w:eastAsia="zh-CN"/>
        </w:rPr>
        <w:t>8</w:t>
      </w:r>
      <w:r>
        <w:rPr>
          <w:rFonts w:hint="eastAsia" w:ascii="仿宋" w:hAnsi="仿宋" w:eastAsia="仿宋" w:cs="仿宋"/>
          <w:b/>
          <w:color w:val="auto"/>
          <w:sz w:val="24"/>
          <w:highlight w:val="none"/>
        </w:rPr>
        <w:t>0分）</w:t>
      </w:r>
    </w:p>
    <w:tbl>
      <w:tblPr>
        <w:tblStyle w:val="34"/>
        <w:tblW w:w="95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1977"/>
        <w:gridCol w:w="5786"/>
        <w:gridCol w:w="993"/>
      </w:tblGrid>
      <w:tr w14:paraId="60A96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vAlign w:val="center"/>
          </w:tcPr>
          <w:p w14:paraId="1E2A1B1C">
            <w:pPr>
              <w:widowControl w:val="0"/>
              <w:spacing w:after="120" w:line="440" w:lineRule="exact"/>
              <w:ind w:left="0" w:leftChars="0" w:firstLine="0" w:firstLineChars="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序号</w:t>
            </w:r>
          </w:p>
        </w:tc>
        <w:tc>
          <w:tcPr>
            <w:tcW w:w="1977" w:type="dxa"/>
            <w:vAlign w:val="center"/>
          </w:tcPr>
          <w:p w14:paraId="0F131BC2">
            <w:pPr>
              <w:widowControl w:val="0"/>
              <w:spacing w:after="120" w:line="400" w:lineRule="exact"/>
              <w:ind w:left="0" w:leftChars="0" w:firstLine="240" w:firstLineChars="10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评分项</w:t>
            </w:r>
          </w:p>
        </w:tc>
        <w:tc>
          <w:tcPr>
            <w:tcW w:w="5786" w:type="dxa"/>
            <w:vAlign w:val="center"/>
          </w:tcPr>
          <w:p w14:paraId="7798FA4F">
            <w:pPr>
              <w:widowControl w:val="0"/>
              <w:spacing w:after="120" w:line="400" w:lineRule="exact"/>
              <w:ind w:left="0" w:leftChars="0" w:firstLine="2400" w:firstLineChars="100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评分细则</w:t>
            </w:r>
          </w:p>
        </w:tc>
        <w:tc>
          <w:tcPr>
            <w:tcW w:w="993" w:type="dxa"/>
            <w:vAlign w:val="center"/>
          </w:tcPr>
          <w:p w14:paraId="3466FD52">
            <w:pPr>
              <w:widowControl w:val="0"/>
              <w:spacing w:after="120" w:line="400" w:lineRule="exact"/>
              <w:ind w:left="0" w:leftChars="0" w:firstLine="0" w:firstLineChars="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分值</w:t>
            </w:r>
          </w:p>
        </w:tc>
      </w:tr>
      <w:tr w14:paraId="5C626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8" w:type="dxa"/>
            <w:gridSpan w:val="2"/>
            <w:vAlign w:val="center"/>
          </w:tcPr>
          <w:p w14:paraId="560B2E0F">
            <w:pPr>
              <w:spacing w:line="360" w:lineRule="exact"/>
              <w:ind w:firstLine="0" w:firstLineChars="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w:t>
            </w:r>
          </w:p>
        </w:tc>
        <w:tc>
          <w:tcPr>
            <w:tcW w:w="5786" w:type="dxa"/>
            <w:vAlign w:val="center"/>
          </w:tcPr>
          <w:p w14:paraId="1D206520">
            <w:pPr>
              <w:widowControl w:val="0"/>
              <w:spacing w:after="120" w:line="440" w:lineRule="exact"/>
              <w:ind w:left="0" w:leftChars="0" w:firstLine="0" w:firstLineChars="0"/>
              <w:jc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技术分</w:t>
            </w:r>
          </w:p>
        </w:tc>
        <w:tc>
          <w:tcPr>
            <w:tcW w:w="993" w:type="dxa"/>
            <w:vAlign w:val="center"/>
          </w:tcPr>
          <w:p w14:paraId="04A863D8">
            <w:pPr>
              <w:widowControl w:val="0"/>
              <w:spacing w:after="120" w:line="440" w:lineRule="exact"/>
              <w:ind w:left="0" w:leftChars="0" w:firstLine="0" w:firstLineChars="0"/>
              <w:jc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64分</w:t>
            </w:r>
          </w:p>
        </w:tc>
      </w:tr>
      <w:tr w14:paraId="7FA1A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5" w:hRule="atLeast"/>
          <w:jc w:val="center"/>
        </w:trPr>
        <w:tc>
          <w:tcPr>
            <w:tcW w:w="831" w:type="dxa"/>
            <w:vAlign w:val="center"/>
          </w:tcPr>
          <w:p w14:paraId="72C0073C">
            <w:pPr>
              <w:widowControl w:val="0"/>
              <w:spacing w:after="120" w:line="440" w:lineRule="exact"/>
              <w:ind w:left="0" w:leftChars="0" w:firstLine="0" w:firstLineChars="0"/>
              <w:jc w:val="center"/>
              <w:rPr>
                <w:rFonts w:hint="default"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1</w:t>
            </w:r>
          </w:p>
        </w:tc>
        <w:tc>
          <w:tcPr>
            <w:tcW w:w="1977" w:type="dxa"/>
            <w:vAlign w:val="center"/>
          </w:tcPr>
          <w:p w14:paraId="41C135A4">
            <w:pPr>
              <w:spacing w:line="360" w:lineRule="exact"/>
              <w:ind w:firstLine="0" w:firstLineChars="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项目总体理解</w:t>
            </w:r>
          </w:p>
        </w:tc>
        <w:tc>
          <w:tcPr>
            <w:tcW w:w="5786" w:type="dxa"/>
            <w:vAlign w:val="center"/>
          </w:tcPr>
          <w:p w14:paraId="39EFACBF">
            <w:pPr>
              <w:spacing w:line="440" w:lineRule="exact"/>
              <w:ind w:left="0" w:leftChars="0" w:firstLineChars="0"/>
              <w:rPr>
                <w:rFonts w:hint="eastAsia" w:ascii="仿宋" w:hAnsi="仿宋" w:eastAsia="仿宋" w:cs="仿宋"/>
                <w:color w:val="auto"/>
                <w:kern w:val="2"/>
                <w:sz w:val="24"/>
                <w:highlight w:val="none"/>
                <w:u w:val="none"/>
                <w:lang w:eastAsia="zh-CN" w:bidi="ar"/>
              </w:rPr>
            </w:pPr>
            <w:r>
              <w:rPr>
                <w:rFonts w:hint="eastAsia" w:ascii="仿宋" w:hAnsi="仿宋" w:eastAsia="仿宋" w:cs="仿宋"/>
                <w:color w:val="auto"/>
                <w:sz w:val="24"/>
                <w:highlight w:val="none"/>
                <w:lang w:bidi="ar"/>
              </w:rPr>
              <w:t>根据各</w:t>
            </w:r>
            <w:r>
              <w:rPr>
                <w:rFonts w:hint="eastAsia" w:ascii="仿宋" w:hAnsi="仿宋" w:eastAsia="仿宋" w:cs="仿宋"/>
                <w:color w:val="auto"/>
                <w:sz w:val="24"/>
                <w:highlight w:val="none"/>
                <w:lang w:val="en-US" w:eastAsia="zh-CN" w:bidi="ar"/>
              </w:rPr>
              <w:t>供应商</w:t>
            </w:r>
            <w:r>
              <w:rPr>
                <w:rFonts w:hint="eastAsia" w:ascii="仿宋" w:hAnsi="仿宋" w:eastAsia="仿宋" w:cs="仿宋"/>
                <w:color w:val="auto"/>
                <w:sz w:val="24"/>
                <w:highlight w:val="none"/>
                <w:lang w:bidi="ar"/>
              </w:rPr>
              <w:t>针对本项目的理解和熟悉程度，从</w:t>
            </w:r>
            <w:r>
              <w:rPr>
                <w:rFonts w:hint="eastAsia" w:ascii="仿宋" w:hAnsi="仿宋" w:eastAsia="仿宋" w:cs="仿宋"/>
                <w:color w:val="auto"/>
                <w:kern w:val="2"/>
                <w:sz w:val="24"/>
                <w:highlight w:val="none"/>
                <w:u w:val="none"/>
                <w:lang w:val="en-US" w:eastAsia="zh-CN" w:bidi="ar"/>
              </w:rPr>
              <w:t>总体方案、管理机构、运作流程</w:t>
            </w:r>
            <w:r>
              <w:rPr>
                <w:rFonts w:hint="eastAsia" w:ascii="仿宋" w:hAnsi="仿宋" w:eastAsia="仿宋" w:cs="仿宋"/>
                <w:color w:val="auto"/>
                <w:sz w:val="24"/>
                <w:highlight w:val="none"/>
                <w:lang w:bidi="ar"/>
              </w:rPr>
              <w:t>等方面进行评审</w:t>
            </w:r>
            <w:r>
              <w:rPr>
                <w:rFonts w:hint="eastAsia" w:ascii="仿宋" w:hAnsi="仿宋" w:eastAsia="仿宋" w:cs="仿宋"/>
                <w:color w:val="auto"/>
                <w:kern w:val="2"/>
                <w:sz w:val="24"/>
                <w:highlight w:val="none"/>
                <w:u w:val="none"/>
                <w:lang w:eastAsia="zh-CN" w:bidi="ar"/>
              </w:rPr>
              <w:t>：</w:t>
            </w:r>
          </w:p>
          <w:p w14:paraId="08330436">
            <w:pPr>
              <w:spacing w:line="440" w:lineRule="exact"/>
              <w:ind w:left="0" w:leftChars="0" w:firstLineChars="0"/>
              <w:rPr>
                <w:rFonts w:hint="eastAsia" w:ascii="仿宋" w:hAnsi="仿宋" w:eastAsia="仿宋" w:cs="仿宋"/>
                <w:color w:val="auto"/>
                <w:kern w:val="2"/>
                <w:sz w:val="24"/>
                <w:highlight w:val="none"/>
                <w:u w:val="none"/>
                <w:lang w:bidi="ar"/>
              </w:rPr>
            </w:pPr>
            <w:r>
              <w:rPr>
                <w:rFonts w:hint="eastAsia" w:ascii="仿宋" w:hAnsi="仿宋" w:eastAsia="仿宋" w:cs="仿宋"/>
                <w:color w:val="auto"/>
                <w:sz w:val="24"/>
                <w:highlight w:val="none"/>
                <w:lang w:val="en-US" w:eastAsia="zh-CN" w:bidi="ar"/>
              </w:rPr>
              <w:t>1、</w:t>
            </w:r>
            <w:r>
              <w:rPr>
                <w:rFonts w:hint="eastAsia" w:ascii="仿宋" w:hAnsi="仿宋" w:eastAsia="仿宋" w:cs="仿宋"/>
                <w:color w:val="auto"/>
                <w:sz w:val="24"/>
                <w:highlight w:val="none"/>
                <w:lang w:bidi="ar"/>
              </w:rPr>
              <w:t>总体方案：理解采购方的需求，认识深入全面，工作思路清晰的得</w:t>
            </w:r>
            <w:r>
              <w:rPr>
                <w:rFonts w:hint="eastAsia" w:ascii="仿宋" w:hAnsi="仿宋" w:eastAsia="仿宋" w:cs="仿宋"/>
                <w:color w:val="auto"/>
                <w:sz w:val="24"/>
                <w:highlight w:val="none"/>
                <w:lang w:eastAsia="zh-CN" w:bidi="ar"/>
              </w:rPr>
              <w:t>4</w:t>
            </w:r>
            <w:r>
              <w:rPr>
                <w:rFonts w:hint="eastAsia" w:ascii="仿宋" w:hAnsi="仿宋" w:eastAsia="仿宋" w:cs="仿宋"/>
                <w:color w:val="auto"/>
                <w:sz w:val="24"/>
                <w:highlight w:val="none"/>
                <w:lang w:bidi="ar"/>
              </w:rPr>
              <w:t>分，有欠缺或与本项目不符每处扣</w:t>
            </w:r>
            <w:r>
              <w:rPr>
                <w:rFonts w:hint="eastAsia" w:ascii="仿宋" w:hAnsi="仿宋" w:eastAsia="仿宋" w:cs="仿宋"/>
                <w:color w:val="auto"/>
                <w:kern w:val="2"/>
                <w:sz w:val="24"/>
                <w:highlight w:val="none"/>
                <w:u w:val="none"/>
                <w:lang w:eastAsia="zh-CN" w:bidi="ar"/>
              </w:rPr>
              <w:t>0</w:t>
            </w:r>
            <w:r>
              <w:rPr>
                <w:rFonts w:hint="eastAsia" w:ascii="仿宋" w:hAnsi="仿宋" w:eastAsia="仿宋" w:cs="仿宋"/>
                <w:color w:val="auto"/>
                <w:kern w:val="2"/>
                <w:sz w:val="24"/>
                <w:highlight w:val="none"/>
                <w:u w:val="none"/>
                <w:lang w:val="en-US" w:eastAsia="zh-CN" w:bidi="ar"/>
              </w:rPr>
              <w:t>.5</w:t>
            </w:r>
            <w:r>
              <w:rPr>
                <w:rFonts w:hint="eastAsia" w:ascii="仿宋" w:hAnsi="仿宋" w:eastAsia="仿宋" w:cs="仿宋"/>
                <w:color w:val="auto"/>
                <w:sz w:val="24"/>
                <w:highlight w:val="none"/>
                <w:lang w:bidi="ar"/>
              </w:rPr>
              <w:t>分，扣完为止；未提供不得分；</w:t>
            </w:r>
          </w:p>
          <w:p w14:paraId="0C321487">
            <w:pPr>
              <w:spacing w:line="440" w:lineRule="exact"/>
              <w:ind w:left="0" w:leftChars="0" w:firstLineChars="0"/>
              <w:rPr>
                <w:rFonts w:hint="eastAsia" w:ascii="仿宋" w:hAnsi="仿宋" w:eastAsia="仿宋" w:cs="仿宋"/>
                <w:i w:val="0"/>
                <w:iCs w:val="0"/>
                <w:color w:val="auto"/>
                <w:kern w:val="2"/>
                <w:sz w:val="24"/>
                <w:szCs w:val="24"/>
                <w:highlight w:val="none"/>
                <w:u w:val="none"/>
                <w:lang w:val="en-US" w:eastAsia="zh-CN" w:bidi="ar"/>
              </w:rPr>
            </w:pPr>
            <w:r>
              <w:rPr>
                <w:rFonts w:hint="eastAsia" w:ascii="仿宋" w:hAnsi="仿宋" w:eastAsia="仿宋" w:cs="仿宋"/>
                <w:color w:val="auto"/>
                <w:sz w:val="24"/>
                <w:highlight w:val="none"/>
                <w:lang w:val="en-US" w:eastAsia="zh-CN" w:bidi="ar"/>
              </w:rPr>
              <w:t>2、</w:t>
            </w:r>
            <w:r>
              <w:rPr>
                <w:rFonts w:hint="eastAsia" w:ascii="仿宋" w:hAnsi="仿宋" w:eastAsia="仿宋" w:cs="仿宋"/>
                <w:color w:val="auto"/>
                <w:sz w:val="24"/>
                <w:highlight w:val="none"/>
                <w:lang w:bidi="ar"/>
              </w:rPr>
              <w:t>管理机构：全面合理、详细完整的得3分，</w:t>
            </w:r>
            <w:r>
              <w:rPr>
                <w:rFonts w:hint="eastAsia" w:ascii="仿宋" w:hAnsi="仿宋" w:eastAsia="仿宋" w:cs="仿宋"/>
                <w:color w:val="auto"/>
                <w:kern w:val="2"/>
                <w:sz w:val="24"/>
                <w:highlight w:val="none"/>
                <w:u w:val="none"/>
                <w:lang w:bidi="ar"/>
              </w:rPr>
              <w:t>有欠缺或与本项目不符每处扣</w:t>
            </w:r>
            <w:r>
              <w:rPr>
                <w:rFonts w:hint="eastAsia" w:ascii="仿宋" w:hAnsi="仿宋" w:eastAsia="仿宋" w:cs="仿宋"/>
                <w:color w:val="auto"/>
                <w:kern w:val="2"/>
                <w:sz w:val="24"/>
                <w:highlight w:val="none"/>
                <w:u w:val="none"/>
                <w:lang w:eastAsia="zh-CN" w:bidi="ar"/>
              </w:rPr>
              <w:t>0</w:t>
            </w:r>
            <w:r>
              <w:rPr>
                <w:rFonts w:hint="eastAsia" w:ascii="仿宋" w:hAnsi="仿宋" w:eastAsia="仿宋" w:cs="仿宋"/>
                <w:color w:val="auto"/>
                <w:kern w:val="2"/>
                <w:sz w:val="24"/>
                <w:highlight w:val="none"/>
                <w:u w:val="none"/>
                <w:lang w:val="en-US" w:eastAsia="zh-CN" w:bidi="ar"/>
              </w:rPr>
              <w:t>.5</w:t>
            </w:r>
            <w:r>
              <w:rPr>
                <w:rFonts w:hint="eastAsia" w:ascii="仿宋" w:hAnsi="仿宋" w:eastAsia="仿宋" w:cs="仿宋"/>
                <w:color w:val="auto"/>
                <w:kern w:val="2"/>
                <w:sz w:val="24"/>
                <w:highlight w:val="none"/>
                <w:u w:val="none"/>
                <w:lang w:bidi="ar"/>
              </w:rPr>
              <w:t>分，扣完为止；未提供不得分；</w:t>
            </w:r>
          </w:p>
          <w:p w14:paraId="4331F89B">
            <w:pPr>
              <w:spacing w:line="440" w:lineRule="exact"/>
              <w:ind w:left="0" w:leftChars="0" w:firstLineChars="0"/>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highlight w:val="none"/>
                <w:lang w:val="en-US" w:eastAsia="zh-CN" w:bidi="ar"/>
              </w:rPr>
              <w:t>3、</w:t>
            </w:r>
            <w:r>
              <w:rPr>
                <w:rFonts w:hint="eastAsia" w:ascii="仿宋" w:hAnsi="仿宋" w:eastAsia="仿宋" w:cs="仿宋"/>
                <w:color w:val="auto"/>
                <w:sz w:val="24"/>
                <w:highlight w:val="none"/>
                <w:lang w:bidi="ar"/>
              </w:rPr>
              <w:t>运作流程：明晰、内容无前后矛盾，具备可操作性的得3分，有欠缺或与本项目不符每处扣0.5分，扣完为止；未提供不得分</w:t>
            </w:r>
            <w:r>
              <w:rPr>
                <w:rFonts w:hint="eastAsia" w:ascii="仿宋" w:hAnsi="仿宋" w:eastAsia="仿宋" w:cs="仿宋"/>
                <w:i w:val="0"/>
                <w:iCs w:val="0"/>
                <w:color w:val="auto"/>
                <w:kern w:val="2"/>
                <w:sz w:val="24"/>
                <w:szCs w:val="24"/>
                <w:highlight w:val="none"/>
                <w:u w:val="none"/>
                <w:lang w:val="en-US" w:eastAsia="zh-CN" w:bidi="ar"/>
              </w:rPr>
              <w:t>。</w:t>
            </w:r>
          </w:p>
        </w:tc>
        <w:tc>
          <w:tcPr>
            <w:tcW w:w="993" w:type="dxa"/>
            <w:vAlign w:val="center"/>
          </w:tcPr>
          <w:p w14:paraId="70F8445B">
            <w:pPr>
              <w:widowControl w:val="0"/>
              <w:spacing w:after="120" w:line="440" w:lineRule="exact"/>
              <w:ind w:left="0" w:leftChars="0" w:firstLine="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0-10分</w:t>
            </w:r>
          </w:p>
        </w:tc>
      </w:tr>
      <w:tr w14:paraId="4130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6A3CE12F">
            <w:pPr>
              <w:widowControl w:val="0"/>
              <w:spacing w:after="120" w:line="440" w:lineRule="exact"/>
              <w:ind w:left="0" w:leftChars="0" w:firstLine="0" w:firstLineChars="0"/>
              <w:jc w:val="center"/>
              <w:rPr>
                <w:rFonts w:hint="default"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2</w:t>
            </w:r>
          </w:p>
        </w:tc>
        <w:tc>
          <w:tcPr>
            <w:tcW w:w="1977" w:type="dxa"/>
            <w:vAlign w:val="center"/>
          </w:tcPr>
          <w:p w14:paraId="30AB0AAF">
            <w:pPr>
              <w:rPr>
                <w:rFonts w:cs="Times New Roman"/>
                <w:color w:val="auto"/>
                <w:highlight w:val="none"/>
              </w:rPr>
            </w:pPr>
          </w:p>
          <w:p w14:paraId="0BFE675A">
            <w:pPr>
              <w:spacing w:line="360" w:lineRule="exact"/>
              <w:ind w:firstLine="0" w:firstLineChars="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项目实施方案</w:t>
            </w:r>
          </w:p>
        </w:tc>
        <w:tc>
          <w:tcPr>
            <w:tcW w:w="5786" w:type="dxa"/>
            <w:vAlign w:val="center"/>
          </w:tcPr>
          <w:p w14:paraId="704E9B2D">
            <w:pPr>
              <w:spacing w:line="440" w:lineRule="exact"/>
              <w:ind w:left="0" w:leftChars="0" w:firstLineChars="0"/>
              <w:rPr>
                <w:rFonts w:hint="eastAsia" w:ascii="仿宋" w:hAnsi="仿宋" w:eastAsia="仿宋" w:cs="仿宋"/>
                <w:i w:val="0"/>
                <w:iCs w:val="0"/>
                <w:color w:val="auto"/>
                <w:kern w:val="2"/>
                <w:sz w:val="24"/>
                <w:szCs w:val="24"/>
                <w:highlight w:val="none"/>
                <w:u w:val="none"/>
                <w:lang w:val="en-US" w:eastAsia="zh-CN" w:bidi="ar"/>
              </w:rPr>
            </w:pPr>
            <w:r>
              <w:rPr>
                <w:rFonts w:hint="eastAsia" w:ascii="仿宋" w:hAnsi="仿宋" w:eastAsia="仿宋" w:cs="仿宋"/>
                <w:color w:val="auto"/>
                <w:sz w:val="24"/>
                <w:szCs w:val="24"/>
                <w:highlight w:val="none"/>
                <w:lang w:bidi="ar"/>
              </w:rPr>
              <w:t>1.日常安全巡查服务</w:t>
            </w:r>
            <w:r>
              <w:rPr>
                <w:rFonts w:hint="eastAsia" w:ascii="仿宋" w:hAnsi="仿宋" w:eastAsia="仿宋" w:cs="仿宋"/>
                <w:color w:val="auto"/>
                <w:sz w:val="24"/>
                <w:szCs w:val="24"/>
                <w:highlight w:val="none"/>
                <w:lang w:val="en-US" w:eastAsia="zh-CN" w:bidi="ar"/>
              </w:rPr>
              <w:t>方案</w:t>
            </w:r>
            <w:r>
              <w:rPr>
                <w:rFonts w:hint="eastAsia" w:ascii="仿宋" w:hAnsi="仿宋" w:eastAsia="仿宋" w:cs="仿宋"/>
                <w:color w:val="auto"/>
                <w:sz w:val="24"/>
                <w:szCs w:val="24"/>
                <w:highlight w:val="none"/>
                <w:lang w:eastAsia="zh-CN" w:bidi="ar"/>
              </w:rPr>
              <w:t>（</w:t>
            </w:r>
            <w:r>
              <w:rPr>
                <w:rFonts w:hint="eastAsia" w:ascii="仿宋" w:hAnsi="仿宋" w:eastAsia="仿宋" w:cs="仿宋"/>
                <w:color w:val="auto"/>
                <w:sz w:val="24"/>
                <w:szCs w:val="24"/>
                <w:highlight w:val="none"/>
                <w:lang w:val="en-US" w:eastAsia="zh-CN" w:bidi="ar"/>
              </w:rPr>
              <w:t>0-6分</w:t>
            </w:r>
            <w:r>
              <w:rPr>
                <w:rFonts w:hint="eastAsia" w:ascii="仿宋" w:hAnsi="仿宋" w:eastAsia="仿宋" w:cs="仿宋"/>
                <w:color w:val="auto"/>
                <w:sz w:val="24"/>
                <w:szCs w:val="24"/>
                <w:highlight w:val="none"/>
                <w:lang w:eastAsia="zh-CN" w:bidi="ar"/>
              </w:rPr>
              <w:t>）：</w:t>
            </w:r>
            <w:r>
              <w:rPr>
                <w:rFonts w:hint="eastAsia" w:ascii="仿宋" w:hAnsi="仿宋" w:eastAsia="仿宋" w:cs="仿宋"/>
                <w:color w:val="auto"/>
                <w:sz w:val="24"/>
                <w:szCs w:val="24"/>
                <w:highlight w:val="none"/>
                <w:lang w:bidi="ar"/>
              </w:rPr>
              <w:t>包括安全及防火、防盗、防破坏、防事故、防群闹</w:t>
            </w:r>
            <w:r>
              <w:rPr>
                <w:rFonts w:hint="eastAsia" w:ascii="仿宋" w:hAnsi="仿宋" w:eastAsia="仿宋" w:cs="仿宋"/>
                <w:color w:val="auto"/>
                <w:sz w:val="24"/>
                <w:szCs w:val="24"/>
                <w:highlight w:val="none"/>
                <w:lang w:val="en-US" w:eastAsia="zh-CN" w:bidi="ar"/>
              </w:rPr>
              <w:t>等</w:t>
            </w:r>
            <w:r>
              <w:rPr>
                <w:rFonts w:hint="eastAsia" w:ascii="仿宋" w:hAnsi="仿宋" w:eastAsia="仿宋" w:cs="仿宋"/>
                <w:color w:val="auto"/>
                <w:sz w:val="24"/>
                <w:szCs w:val="24"/>
                <w:highlight w:val="none"/>
                <w:lang w:bidi="ar"/>
              </w:rPr>
              <w:t>工作方案</w:t>
            </w:r>
            <w:r>
              <w:rPr>
                <w:rFonts w:hint="eastAsia" w:ascii="仿宋" w:hAnsi="仿宋" w:eastAsia="仿宋" w:cs="仿宋"/>
                <w:color w:val="auto"/>
                <w:sz w:val="24"/>
                <w:szCs w:val="24"/>
                <w:highlight w:val="none"/>
                <w:lang w:eastAsia="zh-CN" w:bidi="ar"/>
              </w:rPr>
              <w:t>。</w:t>
            </w:r>
            <w:r>
              <w:rPr>
                <w:rFonts w:hint="eastAsia" w:ascii="仿宋" w:hAnsi="仿宋" w:eastAsia="仿宋" w:cs="仿宋"/>
                <w:color w:val="auto"/>
                <w:sz w:val="24"/>
                <w:highlight w:val="none"/>
                <w:lang w:bidi="ar"/>
              </w:rPr>
              <w:t>全面合理、详细完整的得</w:t>
            </w:r>
            <w:r>
              <w:rPr>
                <w:rFonts w:hint="eastAsia" w:ascii="仿宋" w:hAnsi="仿宋" w:eastAsia="仿宋" w:cs="仿宋"/>
                <w:color w:val="auto"/>
                <w:sz w:val="24"/>
                <w:highlight w:val="none"/>
                <w:lang w:val="en-US" w:eastAsia="zh-CN" w:bidi="ar"/>
              </w:rPr>
              <w:t>6</w:t>
            </w:r>
            <w:r>
              <w:rPr>
                <w:rFonts w:hint="eastAsia" w:ascii="仿宋" w:hAnsi="仿宋" w:eastAsia="仿宋" w:cs="仿宋"/>
                <w:color w:val="auto"/>
                <w:sz w:val="24"/>
                <w:highlight w:val="none"/>
                <w:lang w:bidi="ar"/>
              </w:rPr>
              <w:t>分，</w:t>
            </w:r>
            <w:r>
              <w:rPr>
                <w:rFonts w:hint="eastAsia" w:ascii="仿宋" w:hAnsi="仿宋" w:eastAsia="仿宋" w:cs="仿宋"/>
                <w:color w:val="auto"/>
                <w:kern w:val="2"/>
                <w:sz w:val="24"/>
                <w:highlight w:val="none"/>
                <w:u w:val="none"/>
                <w:lang w:bidi="ar"/>
              </w:rPr>
              <w:t>有欠缺或与本项目不符每处扣</w:t>
            </w:r>
            <w:r>
              <w:rPr>
                <w:rFonts w:hint="eastAsia" w:ascii="仿宋" w:hAnsi="仿宋" w:eastAsia="仿宋" w:cs="仿宋"/>
                <w:color w:val="auto"/>
                <w:kern w:val="2"/>
                <w:sz w:val="24"/>
                <w:highlight w:val="none"/>
                <w:u w:val="none"/>
                <w:lang w:eastAsia="zh-CN" w:bidi="ar"/>
              </w:rPr>
              <w:t>0</w:t>
            </w:r>
            <w:r>
              <w:rPr>
                <w:rFonts w:hint="eastAsia" w:ascii="仿宋" w:hAnsi="仿宋" w:eastAsia="仿宋" w:cs="仿宋"/>
                <w:color w:val="auto"/>
                <w:kern w:val="2"/>
                <w:sz w:val="24"/>
                <w:highlight w:val="none"/>
                <w:u w:val="none"/>
                <w:lang w:val="en-US" w:eastAsia="zh-CN" w:bidi="ar"/>
              </w:rPr>
              <w:t>.5</w:t>
            </w:r>
            <w:r>
              <w:rPr>
                <w:rFonts w:hint="eastAsia" w:ascii="仿宋" w:hAnsi="仿宋" w:eastAsia="仿宋" w:cs="仿宋"/>
                <w:color w:val="auto"/>
                <w:kern w:val="2"/>
                <w:sz w:val="24"/>
                <w:highlight w:val="none"/>
                <w:u w:val="none"/>
                <w:lang w:bidi="ar"/>
              </w:rPr>
              <w:t>分，扣完为止；未提供不得分；</w:t>
            </w:r>
          </w:p>
          <w:p w14:paraId="502D3696">
            <w:pPr>
              <w:spacing w:line="440" w:lineRule="exact"/>
              <w:ind w:left="0" w:leftChars="0" w:firstLineChars="0"/>
              <w:rPr>
                <w:rFonts w:hint="eastAsia" w:ascii="仿宋" w:hAnsi="仿宋" w:eastAsia="仿宋" w:cs="仿宋"/>
                <w:color w:val="auto"/>
                <w:sz w:val="24"/>
                <w:szCs w:val="24"/>
                <w:highlight w:val="none"/>
                <w:lang w:eastAsia="zh-CN" w:bidi="ar"/>
              </w:rPr>
            </w:pPr>
            <w:r>
              <w:rPr>
                <w:rFonts w:hint="eastAsia" w:ascii="仿宋" w:hAnsi="仿宋" w:eastAsia="仿宋" w:cs="仿宋"/>
                <w:color w:val="auto"/>
                <w:sz w:val="24"/>
                <w:szCs w:val="24"/>
                <w:highlight w:val="none"/>
                <w:lang w:val="en-US" w:eastAsia="zh-CN" w:bidi="ar"/>
              </w:rPr>
              <w:t>2、</w:t>
            </w:r>
            <w:r>
              <w:rPr>
                <w:rFonts w:hint="eastAsia" w:ascii="仿宋" w:hAnsi="仿宋" w:eastAsia="仿宋" w:cs="仿宋"/>
                <w:color w:val="auto"/>
                <w:sz w:val="24"/>
                <w:highlight w:val="none"/>
                <w:lang w:bidi="ar"/>
              </w:rPr>
              <w:t>安全方案（0-</w:t>
            </w:r>
            <w:r>
              <w:rPr>
                <w:rFonts w:hint="eastAsia" w:ascii="仿宋" w:hAnsi="仿宋" w:eastAsia="仿宋" w:cs="仿宋"/>
                <w:color w:val="auto"/>
                <w:sz w:val="24"/>
                <w:highlight w:val="none"/>
                <w:lang w:eastAsia="zh-CN" w:bidi="ar"/>
              </w:rPr>
              <w:t>6</w:t>
            </w:r>
            <w:r>
              <w:rPr>
                <w:rFonts w:hint="eastAsia" w:ascii="仿宋" w:hAnsi="仿宋" w:eastAsia="仿宋" w:cs="仿宋"/>
                <w:color w:val="auto"/>
                <w:sz w:val="24"/>
                <w:highlight w:val="none"/>
                <w:lang w:bidi="ar"/>
              </w:rPr>
              <w:t>分）：根据供应商提供的安全方案（包括但不限于安全咨询、安全风险评估、协助采购单位做好各类维稳工作及为采购单位做好综合会议等大型活动的安全保卫工作等）进行评审，完善有效的得</w:t>
            </w:r>
            <w:r>
              <w:rPr>
                <w:rFonts w:hint="eastAsia" w:ascii="仿宋" w:hAnsi="仿宋" w:eastAsia="仿宋" w:cs="仿宋"/>
                <w:color w:val="auto"/>
                <w:sz w:val="24"/>
                <w:highlight w:val="none"/>
                <w:lang w:eastAsia="zh-CN" w:bidi="ar"/>
              </w:rPr>
              <w:t>6</w:t>
            </w:r>
            <w:r>
              <w:rPr>
                <w:rFonts w:hint="eastAsia" w:ascii="仿宋" w:hAnsi="仿宋" w:eastAsia="仿宋" w:cs="仿宋"/>
                <w:color w:val="auto"/>
                <w:sz w:val="24"/>
                <w:highlight w:val="none"/>
                <w:lang w:bidi="ar"/>
              </w:rPr>
              <w:t>分，有欠缺不足的每处扣</w:t>
            </w:r>
            <w:r>
              <w:rPr>
                <w:rFonts w:hint="eastAsia" w:ascii="仿宋" w:hAnsi="仿宋" w:eastAsia="仿宋" w:cs="仿宋"/>
                <w:color w:val="auto"/>
                <w:sz w:val="24"/>
                <w:highlight w:val="none"/>
                <w:lang w:eastAsia="zh-CN" w:bidi="ar"/>
              </w:rPr>
              <w:t>0</w:t>
            </w:r>
            <w:r>
              <w:rPr>
                <w:rFonts w:hint="eastAsia" w:ascii="仿宋" w:hAnsi="仿宋" w:eastAsia="仿宋" w:cs="仿宋"/>
                <w:color w:val="auto"/>
                <w:sz w:val="24"/>
                <w:highlight w:val="none"/>
                <w:lang w:val="en-US" w:eastAsia="zh-CN" w:bidi="ar"/>
              </w:rPr>
              <w:t>.5</w:t>
            </w:r>
            <w:r>
              <w:rPr>
                <w:rFonts w:hint="eastAsia" w:ascii="仿宋" w:hAnsi="仿宋" w:eastAsia="仿宋" w:cs="仿宋"/>
                <w:color w:val="auto"/>
                <w:sz w:val="24"/>
                <w:highlight w:val="none"/>
                <w:lang w:bidi="ar"/>
              </w:rPr>
              <w:t>分，扣完为止。未提供不得分。</w:t>
            </w:r>
          </w:p>
          <w:p w14:paraId="797D2710">
            <w:pPr>
              <w:spacing w:line="440" w:lineRule="exact"/>
              <w:ind w:left="0" w:leftChars="0" w:firstLineChars="0"/>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3、服装配置方案（0-6分）：</w:t>
            </w:r>
            <w:r>
              <w:rPr>
                <w:rFonts w:hint="eastAsia" w:ascii="仿宋" w:hAnsi="仿宋" w:eastAsia="仿宋" w:cs="仿宋"/>
                <w:color w:val="auto"/>
                <w:sz w:val="24"/>
                <w:szCs w:val="24"/>
                <w:highlight w:val="none"/>
                <w:lang w:bidi="ar"/>
              </w:rPr>
              <w:t>根据本项目</w:t>
            </w:r>
            <w:r>
              <w:rPr>
                <w:rFonts w:hint="eastAsia" w:ascii="仿宋" w:hAnsi="仿宋" w:eastAsia="仿宋" w:cs="仿宋"/>
                <w:color w:val="auto"/>
                <w:sz w:val="24"/>
                <w:szCs w:val="24"/>
                <w:highlight w:val="none"/>
                <w:lang w:val="en-US" w:eastAsia="zh-CN" w:bidi="ar"/>
              </w:rPr>
              <w:t>采购</w:t>
            </w:r>
            <w:r>
              <w:rPr>
                <w:rFonts w:hint="eastAsia" w:ascii="仿宋" w:hAnsi="仿宋" w:eastAsia="仿宋" w:cs="仿宋"/>
                <w:color w:val="auto"/>
                <w:sz w:val="24"/>
                <w:szCs w:val="24"/>
                <w:highlight w:val="none"/>
                <w:lang w:bidi="ar"/>
              </w:rPr>
              <w:t>需求，编制服装配备表,注明服装服饰配具名称、型号、数量，在不同的季节为保安提供舒适美观的着装，并提供不同季节的服装配发着装照片，进行评审，服装配备完善、齐全得</w:t>
            </w:r>
            <w:r>
              <w:rPr>
                <w:rFonts w:hint="eastAsia" w:ascii="仿宋" w:hAnsi="仿宋" w:eastAsia="仿宋" w:cs="仿宋"/>
                <w:color w:val="auto"/>
                <w:sz w:val="24"/>
                <w:szCs w:val="24"/>
                <w:highlight w:val="none"/>
                <w:lang w:eastAsia="zh-CN" w:bidi="ar"/>
              </w:rPr>
              <w:t>6</w:t>
            </w:r>
            <w:r>
              <w:rPr>
                <w:rFonts w:hint="eastAsia" w:ascii="仿宋" w:hAnsi="仿宋" w:eastAsia="仿宋" w:cs="仿宋"/>
                <w:color w:val="auto"/>
                <w:sz w:val="24"/>
                <w:szCs w:val="24"/>
                <w:highlight w:val="none"/>
                <w:lang w:bidi="ar"/>
              </w:rPr>
              <w:t>分</w:t>
            </w:r>
            <w:r>
              <w:rPr>
                <w:rFonts w:hint="eastAsia" w:ascii="仿宋" w:hAnsi="仿宋" w:eastAsia="仿宋" w:cs="仿宋"/>
                <w:color w:val="auto"/>
                <w:sz w:val="24"/>
                <w:szCs w:val="24"/>
                <w:highlight w:val="none"/>
                <w:lang w:eastAsia="zh-CN" w:bidi="ar"/>
              </w:rPr>
              <w:t>，</w:t>
            </w:r>
            <w:r>
              <w:rPr>
                <w:rFonts w:hint="eastAsia" w:ascii="仿宋" w:hAnsi="仿宋" w:eastAsia="仿宋" w:cs="仿宋"/>
                <w:color w:val="auto"/>
                <w:sz w:val="24"/>
                <w:highlight w:val="none"/>
                <w:lang w:bidi="ar"/>
              </w:rPr>
              <w:t>有欠缺不足的每处扣</w:t>
            </w:r>
            <w:r>
              <w:rPr>
                <w:rFonts w:hint="eastAsia" w:ascii="仿宋" w:hAnsi="仿宋" w:eastAsia="仿宋" w:cs="仿宋"/>
                <w:color w:val="auto"/>
                <w:sz w:val="24"/>
                <w:highlight w:val="none"/>
                <w:lang w:eastAsia="zh-CN" w:bidi="ar"/>
              </w:rPr>
              <w:t>0</w:t>
            </w:r>
            <w:r>
              <w:rPr>
                <w:rFonts w:hint="eastAsia" w:ascii="仿宋" w:hAnsi="仿宋" w:eastAsia="仿宋" w:cs="仿宋"/>
                <w:color w:val="auto"/>
                <w:sz w:val="24"/>
                <w:highlight w:val="none"/>
                <w:lang w:val="en-US" w:eastAsia="zh-CN" w:bidi="ar"/>
              </w:rPr>
              <w:t>.5</w:t>
            </w:r>
            <w:r>
              <w:rPr>
                <w:rFonts w:hint="eastAsia" w:ascii="仿宋" w:hAnsi="仿宋" w:eastAsia="仿宋" w:cs="仿宋"/>
                <w:color w:val="auto"/>
                <w:sz w:val="24"/>
                <w:highlight w:val="none"/>
                <w:lang w:bidi="ar"/>
              </w:rPr>
              <w:t>分，扣完为止。未提供不得分</w:t>
            </w:r>
            <w:r>
              <w:rPr>
                <w:rFonts w:hint="eastAsia" w:ascii="仿宋" w:hAnsi="仿宋" w:eastAsia="仿宋" w:cs="仿宋"/>
                <w:color w:val="auto"/>
                <w:sz w:val="24"/>
                <w:highlight w:val="none"/>
                <w:lang w:eastAsia="zh-CN" w:bidi="ar"/>
              </w:rPr>
              <w:t>；</w:t>
            </w:r>
          </w:p>
          <w:p w14:paraId="0135F660">
            <w:pPr>
              <w:spacing w:line="440" w:lineRule="exact"/>
              <w:ind w:left="0" w:leftChars="0" w:firstLineChars="0"/>
              <w:rPr>
                <w:rFonts w:hint="eastAsia" w:ascii="宋体" w:hAnsi="宋体" w:eastAsia="仿宋" w:cs="宋体"/>
                <w:color w:val="auto"/>
                <w:sz w:val="24"/>
                <w:szCs w:val="24"/>
                <w:highlight w:val="none"/>
                <w:lang w:val="en-US" w:eastAsia="zh-CN"/>
              </w:rPr>
            </w:pPr>
            <w:r>
              <w:rPr>
                <w:rFonts w:hint="eastAsia" w:ascii="仿宋" w:hAnsi="仿宋" w:eastAsia="仿宋" w:cs="仿宋"/>
                <w:color w:val="auto"/>
                <w:sz w:val="24"/>
                <w:szCs w:val="24"/>
                <w:highlight w:val="none"/>
                <w:lang w:val="en-US" w:eastAsia="zh-CN" w:bidi="ar"/>
              </w:rPr>
              <w:t>4、设备配置方案（0-6分）：</w:t>
            </w:r>
            <w:r>
              <w:rPr>
                <w:rFonts w:hint="eastAsia" w:ascii="仿宋" w:hAnsi="仿宋" w:eastAsia="仿宋" w:cs="仿宋"/>
                <w:color w:val="auto"/>
                <w:sz w:val="24"/>
                <w:szCs w:val="24"/>
                <w:highlight w:val="none"/>
                <w:lang w:bidi="ar"/>
              </w:rPr>
              <w:t>根据本项目</w:t>
            </w:r>
            <w:r>
              <w:rPr>
                <w:rFonts w:hint="eastAsia" w:ascii="仿宋" w:hAnsi="仿宋" w:eastAsia="仿宋" w:cs="仿宋"/>
                <w:color w:val="auto"/>
                <w:sz w:val="24"/>
                <w:szCs w:val="24"/>
                <w:highlight w:val="none"/>
                <w:lang w:val="en-US" w:eastAsia="zh-CN" w:bidi="ar"/>
              </w:rPr>
              <w:t>采购</w:t>
            </w:r>
            <w:r>
              <w:rPr>
                <w:rFonts w:hint="eastAsia" w:ascii="仿宋" w:hAnsi="仿宋" w:eastAsia="仿宋" w:cs="仿宋"/>
                <w:color w:val="auto"/>
                <w:sz w:val="24"/>
                <w:szCs w:val="24"/>
                <w:highlight w:val="none"/>
                <w:lang w:bidi="ar"/>
              </w:rPr>
              <w:t>需求，编制设备配备表，注明设备名称、型号、数量，是否为警用装备等，内容齐全、配备完善的得</w:t>
            </w:r>
            <w:r>
              <w:rPr>
                <w:rFonts w:hint="eastAsia" w:ascii="仿宋" w:hAnsi="仿宋" w:eastAsia="仿宋" w:cs="仿宋"/>
                <w:color w:val="auto"/>
                <w:sz w:val="24"/>
                <w:szCs w:val="24"/>
                <w:highlight w:val="none"/>
                <w:lang w:eastAsia="zh-CN" w:bidi="ar"/>
              </w:rPr>
              <w:t>6</w:t>
            </w:r>
            <w:r>
              <w:rPr>
                <w:rFonts w:hint="eastAsia" w:ascii="仿宋" w:hAnsi="仿宋" w:eastAsia="仿宋" w:cs="仿宋"/>
                <w:color w:val="auto"/>
                <w:sz w:val="24"/>
                <w:szCs w:val="24"/>
                <w:highlight w:val="none"/>
                <w:lang w:bidi="ar"/>
              </w:rPr>
              <w:t>分</w:t>
            </w:r>
            <w:r>
              <w:rPr>
                <w:rFonts w:hint="eastAsia" w:ascii="仿宋" w:hAnsi="仿宋" w:eastAsia="仿宋" w:cs="仿宋"/>
                <w:color w:val="auto"/>
                <w:sz w:val="24"/>
                <w:szCs w:val="24"/>
                <w:highlight w:val="none"/>
                <w:lang w:eastAsia="zh-CN" w:bidi="ar"/>
              </w:rPr>
              <w:t>，</w:t>
            </w:r>
            <w:r>
              <w:rPr>
                <w:rFonts w:hint="eastAsia" w:ascii="仿宋" w:hAnsi="仿宋" w:eastAsia="仿宋" w:cs="仿宋"/>
                <w:color w:val="auto"/>
                <w:sz w:val="24"/>
                <w:highlight w:val="none"/>
                <w:lang w:bidi="ar"/>
              </w:rPr>
              <w:t>有欠缺不足的每处扣</w:t>
            </w:r>
            <w:r>
              <w:rPr>
                <w:rFonts w:hint="eastAsia" w:ascii="仿宋" w:hAnsi="仿宋" w:eastAsia="仿宋" w:cs="仿宋"/>
                <w:color w:val="auto"/>
                <w:sz w:val="24"/>
                <w:highlight w:val="none"/>
                <w:lang w:eastAsia="zh-CN" w:bidi="ar"/>
              </w:rPr>
              <w:t>0</w:t>
            </w:r>
            <w:r>
              <w:rPr>
                <w:rFonts w:hint="eastAsia" w:ascii="仿宋" w:hAnsi="仿宋" w:eastAsia="仿宋" w:cs="仿宋"/>
                <w:color w:val="auto"/>
                <w:sz w:val="24"/>
                <w:highlight w:val="none"/>
                <w:lang w:val="en-US" w:eastAsia="zh-CN" w:bidi="ar"/>
              </w:rPr>
              <w:t>.5</w:t>
            </w:r>
            <w:r>
              <w:rPr>
                <w:rFonts w:hint="eastAsia" w:ascii="仿宋" w:hAnsi="仿宋" w:eastAsia="仿宋" w:cs="仿宋"/>
                <w:color w:val="auto"/>
                <w:sz w:val="24"/>
                <w:highlight w:val="none"/>
                <w:lang w:bidi="ar"/>
              </w:rPr>
              <w:t>分，扣完为止。未提供不得分</w:t>
            </w:r>
            <w:r>
              <w:rPr>
                <w:rFonts w:hint="eastAsia" w:ascii="仿宋" w:hAnsi="仿宋" w:eastAsia="仿宋" w:cs="仿宋"/>
                <w:color w:val="auto"/>
                <w:sz w:val="24"/>
                <w:highlight w:val="none"/>
                <w:lang w:eastAsia="zh-CN" w:bidi="ar"/>
              </w:rPr>
              <w:t>。</w:t>
            </w:r>
          </w:p>
        </w:tc>
        <w:tc>
          <w:tcPr>
            <w:tcW w:w="993" w:type="dxa"/>
            <w:vAlign w:val="center"/>
          </w:tcPr>
          <w:p w14:paraId="6DF9DB15">
            <w:pPr>
              <w:widowControl w:val="0"/>
              <w:spacing w:after="120" w:line="440" w:lineRule="exact"/>
              <w:ind w:left="0" w:leftChars="0" w:firstLine="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0-24分</w:t>
            </w:r>
          </w:p>
        </w:tc>
      </w:tr>
      <w:tr w14:paraId="6D69B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32AC18CC">
            <w:pPr>
              <w:widowControl w:val="0"/>
              <w:spacing w:after="120" w:line="440" w:lineRule="exact"/>
              <w:ind w:left="0" w:leftChars="0" w:firstLine="0" w:firstLineChars="0"/>
              <w:jc w:val="center"/>
              <w:rPr>
                <w:rFonts w:hint="default"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3</w:t>
            </w:r>
          </w:p>
        </w:tc>
        <w:tc>
          <w:tcPr>
            <w:tcW w:w="1977" w:type="dxa"/>
            <w:vAlign w:val="center"/>
          </w:tcPr>
          <w:p w14:paraId="23086183">
            <w:pPr>
              <w:spacing w:line="360" w:lineRule="exact"/>
              <w:ind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i w:val="0"/>
                <w:iCs w:val="0"/>
                <w:color w:val="auto"/>
                <w:kern w:val="0"/>
                <w:sz w:val="24"/>
                <w:szCs w:val="24"/>
                <w:highlight w:val="none"/>
                <w:u w:val="none"/>
                <w:lang w:val="en-US" w:eastAsia="zh-CN" w:bidi="ar"/>
              </w:rPr>
              <w:t>服务保障措施</w:t>
            </w:r>
          </w:p>
        </w:tc>
        <w:tc>
          <w:tcPr>
            <w:tcW w:w="5786" w:type="dxa"/>
            <w:vAlign w:val="center"/>
          </w:tcPr>
          <w:p w14:paraId="54524ADF">
            <w:pPr>
              <w:keepNext w:val="0"/>
              <w:keepLines w:val="0"/>
              <w:pageBreakBefore w:val="0"/>
              <w:widowControl w:val="0"/>
              <w:kinsoku/>
              <w:overflowPunct/>
              <w:topLinePunct w:val="0"/>
              <w:autoSpaceDE/>
              <w:autoSpaceDN/>
              <w:bidi w:val="0"/>
              <w:spacing w:line="440" w:lineRule="exact"/>
              <w:textAlignment w:val="auto"/>
              <w:rPr>
                <w:rFonts w:hint="eastAsia" w:ascii="仿宋" w:hAnsi="仿宋" w:eastAsia="仿宋" w:cs="仿宋"/>
                <w:bCs w:val="0"/>
                <w:color w:val="auto"/>
                <w:kern w:val="0"/>
                <w:sz w:val="24"/>
                <w:szCs w:val="24"/>
                <w:highlight w:val="none"/>
                <w:u w:val="none"/>
                <w:lang w:bidi="ar"/>
              </w:rPr>
            </w:pPr>
            <w:r>
              <w:rPr>
                <w:rFonts w:hint="eastAsia" w:ascii="仿宋" w:hAnsi="仿宋" w:eastAsia="仿宋" w:cs="仿宋"/>
                <w:bCs w:val="0"/>
                <w:color w:val="auto"/>
                <w:kern w:val="0"/>
                <w:sz w:val="24"/>
                <w:szCs w:val="24"/>
                <w:highlight w:val="none"/>
                <w:u w:val="none"/>
                <w:lang w:bidi="ar"/>
              </w:rPr>
              <w:t>1.服务保障</w:t>
            </w:r>
            <w:r>
              <w:rPr>
                <w:rFonts w:hint="eastAsia" w:ascii="仿宋" w:hAnsi="仿宋" w:eastAsia="仿宋" w:cs="仿宋"/>
                <w:bCs w:val="0"/>
                <w:color w:val="auto"/>
                <w:kern w:val="0"/>
                <w:sz w:val="24"/>
                <w:szCs w:val="24"/>
                <w:highlight w:val="none"/>
                <w:u w:val="none"/>
                <w:lang w:eastAsia="zh-CN" w:bidi="ar"/>
              </w:rPr>
              <w:t>（</w:t>
            </w:r>
            <w:r>
              <w:rPr>
                <w:rFonts w:hint="eastAsia" w:ascii="仿宋" w:hAnsi="仿宋" w:eastAsia="仿宋" w:cs="仿宋"/>
                <w:bCs w:val="0"/>
                <w:color w:val="auto"/>
                <w:kern w:val="0"/>
                <w:sz w:val="24"/>
                <w:szCs w:val="24"/>
                <w:highlight w:val="none"/>
                <w:u w:val="none"/>
                <w:lang w:val="en-US" w:eastAsia="zh-CN" w:bidi="ar"/>
              </w:rPr>
              <w:t>0-5分</w:t>
            </w:r>
            <w:r>
              <w:rPr>
                <w:rFonts w:hint="eastAsia" w:ascii="仿宋" w:hAnsi="仿宋" w:eastAsia="仿宋" w:cs="仿宋"/>
                <w:bCs w:val="0"/>
                <w:color w:val="auto"/>
                <w:kern w:val="0"/>
                <w:sz w:val="24"/>
                <w:szCs w:val="24"/>
                <w:highlight w:val="none"/>
                <w:u w:val="none"/>
                <w:lang w:eastAsia="zh-CN" w:bidi="ar"/>
              </w:rPr>
              <w:t>）</w:t>
            </w:r>
            <w:r>
              <w:rPr>
                <w:rFonts w:hint="eastAsia" w:ascii="仿宋" w:hAnsi="仿宋" w:eastAsia="仿宋" w:cs="仿宋"/>
                <w:bCs w:val="0"/>
                <w:color w:val="auto"/>
                <w:kern w:val="0"/>
                <w:sz w:val="24"/>
                <w:szCs w:val="24"/>
                <w:highlight w:val="none"/>
                <w:u w:val="none"/>
                <w:lang w:bidi="ar"/>
              </w:rPr>
              <w:t>：有应对突发事件详细的工作计划和项目初始化方案具体措施的，方</w:t>
            </w:r>
            <w:r>
              <w:rPr>
                <w:rFonts w:hint="eastAsia" w:ascii="仿宋" w:hAnsi="仿宋" w:eastAsia="仿宋" w:cs="仿宋"/>
                <w:bCs w:val="0"/>
                <w:color w:val="auto"/>
                <w:sz w:val="24"/>
                <w:szCs w:val="24"/>
                <w:highlight w:val="none"/>
                <w:u w:val="none"/>
                <w:lang w:bidi="ar"/>
              </w:rPr>
              <w:t>案可行、严密、合理得</w:t>
            </w:r>
            <w:r>
              <w:rPr>
                <w:rFonts w:hint="eastAsia" w:ascii="仿宋" w:hAnsi="仿宋" w:eastAsia="仿宋" w:cs="仿宋"/>
                <w:bCs w:val="0"/>
                <w:color w:val="auto"/>
                <w:sz w:val="24"/>
                <w:szCs w:val="24"/>
                <w:highlight w:val="none"/>
                <w:u w:val="none"/>
                <w:lang w:eastAsia="zh-CN" w:bidi="ar"/>
              </w:rPr>
              <w:t>5</w:t>
            </w:r>
            <w:r>
              <w:rPr>
                <w:rFonts w:hint="eastAsia" w:ascii="仿宋" w:hAnsi="仿宋" w:eastAsia="仿宋" w:cs="仿宋"/>
                <w:bCs w:val="0"/>
                <w:color w:val="auto"/>
                <w:sz w:val="24"/>
                <w:szCs w:val="24"/>
                <w:highlight w:val="none"/>
                <w:u w:val="none"/>
                <w:lang w:bidi="ar"/>
              </w:rPr>
              <w:t>分；</w:t>
            </w:r>
            <w:r>
              <w:rPr>
                <w:rFonts w:hint="eastAsia" w:ascii="仿宋" w:hAnsi="仿宋" w:eastAsia="仿宋" w:cs="仿宋"/>
                <w:color w:val="auto"/>
                <w:sz w:val="24"/>
                <w:highlight w:val="none"/>
              </w:rPr>
              <w:t>有欠缺不足的每处扣</w:t>
            </w:r>
            <w:r>
              <w:rPr>
                <w:rFonts w:hint="eastAsia" w:ascii="仿宋" w:hAnsi="仿宋" w:eastAsia="仿宋" w:cs="仿宋"/>
                <w:color w:val="auto"/>
                <w:sz w:val="24"/>
                <w:highlight w:val="none"/>
                <w:lang w:eastAsia="zh-CN"/>
              </w:rPr>
              <w:t>0</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分，扣完为止</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未提供不得分</w:t>
            </w:r>
            <w:r>
              <w:rPr>
                <w:rFonts w:hint="eastAsia" w:ascii="仿宋" w:hAnsi="仿宋" w:eastAsia="仿宋" w:cs="仿宋"/>
                <w:color w:val="auto"/>
                <w:sz w:val="24"/>
                <w:highlight w:val="none"/>
                <w:lang w:eastAsia="zh-CN"/>
              </w:rPr>
              <w:t>；</w:t>
            </w:r>
          </w:p>
          <w:p w14:paraId="0FD20A49">
            <w:pPr>
              <w:widowControl w:val="0"/>
              <w:spacing w:after="120" w:line="440" w:lineRule="exact"/>
              <w:ind w:left="0" w:leftChars="0" w:firstLine="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bCs w:val="0"/>
                <w:color w:val="auto"/>
                <w:kern w:val="0"/>
                <w:sz w:val="24"/>
                <w:szCs w:val="24"/>
                <w:highlight w:val="none"/>
                <w:u w:val="none"/>
                <w:lang w:val="en-US" w:eastAsia="zh-CN" w:bidi="ar"/>
              </w:rPr>
              <w:t xml:space="preserve">2.人员保障（0-5分）:除派驻服务团队外，供应商具备便捷的服务响应，在特殊安保需要时，能迅速派出足够数量的有经验的增援人员，以应对人员罢工或意外事件引起的临时短缺，并具有1-2名人员应急储备保障方案等。方案可行、严密、合理得5分；方案存在明显缺陷、不严密得每处扣0.5分，扣完为止；未提供不得分。 </w:t>
            </w:r>
          </w:p>
        </w:tc>
        <w:tc>
          <w:tcPr>
            <w:tcW w:w="993" w:type="dxa"/>
            <w:vAlign w:val="center"/>
          </w:tcPr>
          <w:p w14:paraId="55EADCE6">
            <w:pPr>
              <w:widowControl w:val="0"/>
              <w:spacing w:after="120" w:line="440" w:lineRule="exact"/>
              <w:ind w:left="0" w:leftChars="0" w:firstLine="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0-10分</w:t>
            </w:r>
          </w:p>
        </w:tc>
      </w:tr>
      <w:tr w14:paraId="6FD62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0F5B5A43">
            <w:pPr>
              <w:widowControl w:val="0"/>
              <w:numPr>
                <w:ilvl w:val="0"/>
                <w:numId w:val="0"/>
              </w:numPr>
              <w:spacing w:line="420" w:lineRule="exact"/>
              <w:ind w:left="0" w:leftChars="0" w:firstLineChars="0"/>
              <w:jc w:val="center"/>
              <w:rPr>
                <w:rFonts w:hint="eastAsia" w:ascii="仿宋" w:hAnsi="仿宋" w:eastAsia="仿宋" w:cs="仿宋"/>
                <w:bCs w:val="0"/>
                <w:color w:val="auto"/>
                <w:kern w:val="0"/>
                <w:sz w:val="24"/>
                <w:szCs w:val="24"/>
                <w:highlight w:val="none"/>
                <w:u w:val="none"/>
                <w:lang w:val="en-US" w:eastAsia="zh-CN" w:bidi="ar"/>
              </w:rPr>
            </w:pPr>
            <w:r>
              <w:rPr>
                <w:rFonts w:hint="eastAsia" w:ascii="仿宋" w:hAnsi="仿宋" w:eastAsia="仿宋" w:cs="仿宋"/>
                <w:bCs w:val="0"/>
                <w:color w:val="auto"/>
                <w:kern w:val="0"/>
                <w:sz w:val="24"/>
                <w:szCs w:val="24"/>
                <w:highlight w:val="none"/>
                <w:u w:val="none"/>
                <w:lang w:val="en-US" w:eastAsia="zh-CN" w:bidi="ar"/>
              </w:rPr>
              <w:t>4</w:t>
            </w:r>
          </w:p>
        </w:tc>
        <w:tc>
          <w:tcPr>
            <w:tcW w:w="1977" w:type="dxa"/>
            <w:vAlign w:val="center"/>
          </w:tcPr>
          <w:p w14:paraId="2ADE0CB5">
            <w:pPr>
              <w:widowControl w:val="0"/>
              <w:numPr>
                <w:ilvl w:val="0"/>
                <w:numId w:val="0"/>
              </w:numPr>
              <w:spacing w:line="420" w:lineRule="exact"/>
              <w:ind w:firstLineChars="0"/>
              <w:jc w:val="center"/>
              <w:rPr>
                <w:rFonts w:hint="eastAsia" w:ascii="仿宋" w:hAnsi="仿宋" w:eastAsia="仿宋" w:cs="仿宋"/>
                <w:color w:val="auto"/>
                <w:kern w:val="0"/>
                <w:sz w:val="24"/>
                <w:szCs w:val="24"/>
                <w:highlight w:val="none"/>
                <w:u w:val="none"/>
                <w:lang w:val="en-US" w:eastAsia="zh-CN" w:bidi="ar"/>
              </w:rPr>
            </w:pPr>
            <w:r>
              <w:rPr>
                <w:rFonts w:hint="eastAsia" w:ascii="仿宋" w:hAnsi="仿宋" w:eastAsia="仿宋" w:cs="仿宋"/>
                <w:color w:val="auto"/>
                <w:kern w:val="0"/>
                <w:sz w:val="24"/>
                <w:szCs w:val="24"/>
                <w:highlight w:val="none"/>
                <w:u w:val="none"/>
                <w:lang w:val="en-US" w:eastAsia="zh-CN" w:bidi="ar"/>
              </w:rPr>
              <w:t>项目管理制度</w:t>
            </w:r>
          </w:p>
          <w:p w14:paraId="1529BE02">
            <w:pPr>
              <w:widowControl w:val="0"/>
              <w:numPr>
                <w:ilvl w:val="0"/>
                <w:numId w:val="0"/>
              </w:numPr>
              <w:spacing w:line="420" w:lineRule="exact"/>
              <w:ind w:firstLineChars="0"/>
              <w:jc w:val="center"/>
              <w:rPr>
                <w:rFonts w:hint="eastAsia" w:ascii="仿宋" w:hAnsi="仿宋" w:eastAsia="仿宋" w:cs="仿宋"/>
                <w:color w:val="auto"/>
                <w:kern w:val="0"/>
                <w:sz w:val="24"/>
                <w:szCs w:val="24"/>
                <w:highlight w:val="none"/>
                <w:u w:val="none"/>
                <w:lang w:val="en-US" w:eastAsia="zh-CN" w:bidi="ar"/>
              </w:rPr>
            </w:pPr>
            <w:r>
              <w:rPr>
                <w:rFonts w:hint="eastAsia" w:ascii="仿宋" w:hAnsi="仿宋" w:eastAsia="仿宋" w:cs="仿宋"/>
                <w:color w:val="auto"/>
                <w:kern w:val="0"/>
                <w:sz w:val="24"/>
                <w:szCs w:val="24"/>
                <w:highlight w:val="none"/>
                <w:u w:val="none"/>
                <w:lang w:val="en-US" w:eastAsia="zh-CN" w:bidi="ar"/>
              </w:rPr>
              <w:t>建设</w:t>
            </w:r>
          </w:p>
        </w:tc>
        <w:tc>
          <w:tcPr>
            <w:tcW w:w="5786" w:type="dxa"/>
            <w:vAlign w:val="center"/>
          </w:tcPr>
          <w:p w14:paraId="6896FDA8">
            <w:pPr>
              <w:widowControl w:val="0"/>
              <w:numPr>
                <w:ilvl w:val="-1"/>
                <w:numId w:val="0"/>
              </w:numPr>
              <w:spacing w:after="120" w:line="440" w:lineRule="exact"/>
              <w:ind w:left="0" w:leftChars="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kern w:val="0"/>
                <w:sz w:val="24"/>
                <w:szCs w:val="24"/>
                <w:highlight w:val="none"/>
                <w:u w:val="none"/>
                <w:lang w:val="en-US" w:eastAsia="zh-CN" w:bidi="ar"/>
              </w:rPr>
              <w:t>根据各供应商是否有健全的各项制度，以及制度是否符合规范，是否科学合理、规范完善进行综合评定：包括服务人员管理制度、服务标准制度、岗位责任制度、服务人员考核制度、服务过程相关记录资料的信息管理办法等:内容完善、全面得6分；有欠缺或与本项目不符每处扣1分，扣完为止；未提供不得分</w:t>
            </w:r>
            <w:r>
              <w:rPr>
                <w:rFonts w:hint="eastAsia" w:ascii="仿宋" w:hAnsi="仿宋" w:eastAsia="仿宋" w:cs="仿宋"/>
                <w:i w:val="0"/>
                <w:iCs w:val="0"/>
                <w:color w:val="auto"/>
                <w:kern w:val="0"/>
                <w:sz w:val="24"/>
                <w:szCs w:val="24"/>
                <w:highlight w:val="none"/>
                <w:u w:val="none"/>
                <w:lang w:val="en-US" w:eastAsia="zh-CN" w:bidi="ar"/>
              </w:rPr>
              <w:t>。</w:t>
            </w:r>
          </w:p>
        </w:tc>
        <w:tc>
          <w:tcPr>
            <w:tcW w:w="993" w:type="dxa"/>
            <w:vAlign w:val="center"/>
          </w:tcPr>
          <w:p w14:paraId="02D9EDA4">
            <w:pPr>
              <w:widowControl w:val="0"/>
              <w:spacing w:after="120" w:line="440" w:lineRule="exact"/>
              <w:ind w:left="0" w:leftChars="0" w:firstLine="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0-6分</w:t>
            </w:r>
          </w:p>
        </w:tc>
      </w:tr>
      <w:tr w14:paraId="1F805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2BE4B8F2">
            <w:pPr>
              <w:widowControl w:val="0"/>
              <w:spacing w:after="120" w:line="440" w:lineRule="exact"/>
              <w:ind w:left="0" w:leftChars="0" w:firstLine="0" w:firstLineChars="0"/>
              <w:jc w:val="center"/>
              <w:rPr>
                <w:rFonts w:hint="default"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5</w:t>
            </w:r>
          </w:p>
        </w:tc>
        <w:tc>
          <w:tcPr>
            <w:tcW w:w="1977" w:type="dxa"/>
            <w:vAlign w:val="center"/>
          </w:tcPr>
          <w:p w14:paraId="5B292E2D">
            <w:pPr>
              <w:keepNext w:val="0"/>
              <w:keepLines w:val="0"/>
              <w:pageBreakBefore w:val="0"/>
              <w:widowControl w:val="0"/>
              <w:kinsoku/>
              <w:wordWrap w:val="0"/>
              <w:overflowPunct/>
              <w:topLinePunct w:val="0"/>
              <w:autoSpaceDE/>
              <w:autoSpaceDN/>
              <w:bidi w:val="0"/>
              <w:spacing w:before="0" w:beforeLines="0" w:beforeAutospacing="0" w:after="0" w:afterLines="0" w:afterAutospacing="0" w:line="420" w:lineRule="exact"/>
              <w:jc w:val="center"/>
              <w:textAlignment w:val="auto"/>
              <w:rPr>
                <w:rFonts w:hint="eastAsia" w:ascii="仿宋" w:hAnsi="仿宋" w:eastAsia="仿宋" w:cs="仿宋"/>
                <w:color w:val="auto"/>
                <w:kern w:val="0"/>
                <w:sz w:val="24"/>
                <w:szCs w:val="24"/>
                <w:highlight w:val="none"/>
                <w:u w:val="none"/>
                <w:lang w:val="en-US" w:eastAsia="zh-CN" w:bidi="ar"/>
              </w:rPr>
            </w:pPr>
            <w:r>
              <w:rPr>
                <w:rFonts w:hint="eastAsia" w:ascii="仿宋" w:hAnsi="仿宋" w:eastAsia="仿宋" w:cs="仿宋"/>
                <w:color w:val="auto"/>
                <w:kern w:val="0"/>
                <w:sz w:val="24"/>
                <w:szCs w:val="24"/>
                <w:highlight w:val="none"/>
                <w:u w:val="none"/>
                <w:lang w:val="en-US" w:eastAsia="zh-CN" w:bidi="ar"/>
              </w:rPr>
              <w:t>人员培训</w:t>
            </w:r>
          </w:p>
        </w:tc>
        <w:tc>
          <w:tcPr>
            <w:tcW w:w="5786" w:type="dxa"/>
            <w:vAlign w:val="center"/>
          </w:tcPr>
          <w:p w14:paraId="33B30682">
            <w:pPr>
              <w:keepNext w:val="0"/>
              <w:keepLines w:val="0"/>
              <w:pageBreakBefore w:val="0"/>
              <w:widowControl w:val="0"/>
              <w:kinsoku/>
              <w:overflowPunct/>
              <w:topLinePunct w:val="0"/>
              <w:autoSpaceDE/>
              <w:autoSpaceDN/>
              <w:bidi w:val="0"/>
              <w:spacing w:line="420" w:lineRule="exact"/>
              <w:jc w:val="left"/>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kern w:val="0"/>
                <w:sz w:val="24"/>
                <w:szCs w:val="24"/>
                <w:highlight w:val="none"/>
                <w:u w:val="none"/>
                <w:lang w:val="en-US" w:eastAsia="zh-CN" w:bidi="ar"/>
              </w:rPr>
              <w:t>为保证服务人员的服务质量水平，供应商提供相应的培训制度，包括岗前培训和在岗培训，培训方案完善且有针对性，培训内容包含服务态度、岗位技能、职业道德、及各种安全作业等知识的培训，实际开展队员培训计划，需提供培训计划表并承诺完成。</w:t>
            </w:r>
            <w:r>
              <w:rPr>
                <w:rFonts w:hint="eastAsia" w:ascii="仿宋" w:hAnsi="仿宋" w:eastAsia="仿宋" w:cs="仿宋"/>
                <w:bCs w:val="0"/>
                <w:color w:val="auto"/>
                <w:kern w:val="0"/>
                <w:sz w:val="24"/>
                <w:szCs w:val="24"/>
                <w:highlight w:val="none"/>
                <w:u w:val="none"/>
                <w:lang w:val="en-US" w:eastAsia="zh-CN" w:bidi="ar"/>
              </w:rPr>
              <w:t>制度可行、严密、合理并承诺实行的得8分；</w:t>
            </w:r>
            <w:r>
              <w:rPr>
                <w:rFonts w:hint="eastAsia" w:ascii="仿宋" w:hAnsi="仿宋" w:eastAsia="仿宋" w:cs="仿宋"/>
                <w:color w:val="auto"/>
                <w:kern w:val="0"/>
                <w:sz w:val="24"/>
                <w:szCs w:val="24"/>
                <w:highlight w:val="none"/>
                <w:u w:val="none"/>
                <w:lang w:val="en-US" w:eastAsia="zh-CN" w:bidi="ar"/>
              </w:rPr>
              <w:t>有欠缺或与本项目不符每项扣1分，扣完为止；未提供不得分。</w:t>
            </w:r>
          </w:p>
        </w:tc>
        <w:tc>
          <w:tcPr>
            <w:tcW w:w="993" w:type="dxa"/>
            <w:vAlign w:val="center"/>
          </w:tcPr>
          <w:p w14:paraId="355AD98A">
            <w:pPr>
              <w:widowControl w:val="0"/>
              <w:spacing w:after="120" w:line="440" w:lineRule="exact"/>
              <w:ind w:left="0" w:leftChars="0" w:firstLine="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0-8分</w:t>
            </w:r>
          </w:p>
        </w:tc>
      </w:tr>
      <w:tr w14:paraId="07EFD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273A6504">
            <w:pPr>
              <w:widowControl w:val="0"/>
              <w:spacing w:after="120" w:line="440" w:lineRule="exact"/>
              <w:ind w:left="0" w:leftChars="0" w:firstLine="0" w:firstLineChars="0"/>
              <w:jc w:val="center"/>
              <w:rPr>
                <w:rFonts w:hint="default"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6</w:t>
            </w:r>
          </w:p>
        </w:tc>
        <w:tc>
          <w:tcPr>
            <w:tcW w:w="1977" w:type="dxa"/>
            <w:vAlign w:val="center"/>
          </w:tcPr>
          <w:p w14:paraId="0D9FE0E0">
            <w:pPr>
              <w:spacing w:line="360" w:lineRule="exact"/>
              <w:ind w:firstLine="0" w:firstLineChars="0"/>
              <w:jc w:val="center"/>
              <w:rPr>
                <w:rFonts w:hint="eastAsia" w:ascii="仿宋" w:hAnsi="仿宋" w:eastAsia="仿宋" w:cs="仿宋"/>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合理化建议</w:t>
            </w:r>
          </w:p>
        </w:tc>
        <w:tc>
          <w:tcPr>
            <w:tcW w:w="5786" w:type="dxa"/>
            <w:vAlign w:val="center"/>
          </w:tcPr>
          <w:p w14:paraId="733D30CE">
            <w:pPr>
              <w:widowControl w:val="0"/>
              <w:spacing w:after="120" w:line="440" w:lineRule="exact"/>
              <w:ind w:left="0" w:leftChars="0" w:firstLine="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根据供应商对本项目的特点和难点分析，提出解决措施及合理化建议，每一条有效的建议或措施得2分，最高得6分。</w:t>
            </w:r>
          </w:p>
        </w:tc>
        <w:tc>
          <w:tcPr>
            <w:tcW w:w="993" w:type="dxa"/>
            <w:vAlign w:val="center"/>
          </w:tcPr>
          <w:p w14:paraId="46032C93">
            <w:pPr>
              <w:widowControl w:val="0"/>
              <w:spacing w:after="120" w:line="440" w:lineRule="exact"/>
              <w:ind w:left="0" w:leftChars="0" w:firstLine="0" w:firstLineChars="0"/>
              <w:jc w:val="both"/>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0-6分</w:t>
            </w:r>
          </w:p>
        </w:tc>
      </w:tr>
      <w:tr w14:paraId="61104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8" w:type="dxa"/>
            <w:gridSpan w:val="2"/>
            <w:vAlign w:val="center"/>
          </w:tcPr>
          <w:p w14:paraId="35F3C2F3">
            <w:pPr>
              <w:spacing w:line="360" w:lineRule="exact"/>
              <w:ind w:firstLine="0" w:firstLineChars="0"/>
              <w:jc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二</w:t>
            </w:r>
          </w:p>
        </w:tc>
        <w:tc>
          <w:tcPr>
            <w:tcW w:w="5786" w:type="dxa"/>
            <w:vAlign w:val="center"/>
          </w:tcPr>
          <w:p w14:paraId="6A7400D6">
            <w:pPr>
              <w:widowControl w:val="0"/>
              <w:spacing w:after="120" w:line="440" w:lineRule="exact"/>
              <w:ind w:left="0" w:leftChars="0" w:firstLine="0" w:firstLineChars="0"/>
              <w:jc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商务资信及其他</w:t>
            </w:r>
          </w:p>
        </w:tc>
        <w:tc>
          <w:tcPr>
            <w:tcW w:w="993" w:type="dxa"/>
            <w:vAlign w:val="center"/>
          </w:tcPr>
          <w:p w14:paraId="4164EE1A">
            <w:pPr>
              <w:widowControl w:val="0"/>
              <w:spacing w:after="120" w:line="440" w:lineRule="exact"/>
              <w:ind w:left="0" w:leftChars="0" w:firstLine="0" w:firstLineChars="0"/>
              <w:jc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16分</w:t>
            </w:r>
          </w:p>
        </w:tc>
      </w:tr>
      <w:tr w14:paraId="3963A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17D3C558">
            <w:pPr>
              <w:widowControl w:val="0"/>
              <w:spacing w:after="120" w:line="440" w:lineRule="exact"/>
              <w:ind w:left="0" w:leftChars="0" w:firstLine="0" w:firstLineChars="0"/>
              <w:jc w:val="center"/>
              <w:rPr>
                <w:rFonts w:hint="default"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7</w:t>
            </w:r>
          </w:p>
        </w:tc>
        <w:tc>
          <w:tcPr>
            <w:tcW w:w="1977" w:type="dxa"/>
            <w:vAlign w:val="center"/>
          </w:tcPr>
          <w:p w14:paraId="2003EDCD">
            <w:pPr>
              <w:spacing w:line="360" w:lineRule="exact"/>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企业业绩</w:t>
            </w:r>
          </w:p>
        </w:tc>
        <w:tc>
          <w:tcPr>
            <w:tcW w:w="5786" w:type="dxa"/>
            <w:vAlign w:val="center"/>
          </w:tcPr>
          <w:p w14:paraId="34F92A17">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根据供应商提供的自2021年1月1日（以合同签订时间为准）至今同类项目业绩进行评分，每个得1分，最高得2分。</w:t>
            </w:r>
          </w:p>
          <w:p w14:paraId="01DFB6B1">
            <w:pPr>
              <w:widowControl w:val="0"/>
              <w:spacing w:after="120" w:line="440" w:lineRule="exact"/>
              <w:ind w:left="0" w:leftChars="0" w:firstLine="0" w:firstLineChars="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single"/>
                <w:lang w:val="en-US" w:eastAsia="zh-CN" w:bidi="ar"/>
              </w:rPr>
              <w:t>注：须提供中标(成交）通知书、合同复印件并加盖供应商公章。</w:t>
            </w:r>
          </w:p>
        </w:tc>
        <w:tc>
          <w:tcPr>
            <w:tcW w:w="993" w:type="dxa"/>
            <w:vAlign w:val="center"/>
          </w:tcPr>
          <w:p w14:paraId="10952D9E">
            <w:pPr>
              <w:widowControl w:val="0"/>
              <w:spacing w:after="120" w:line="440" w:lineRule="exact"/>
              <w:ind w:left="0" w:leftChars="0" w:firstLine="0" w:firstLineChars="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0-2分</w:t>
            </w:r>
          </w:p>
        </w:tc>
      </w:tr>
      <w:tr w14:paraId="46460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7D24AFA1">
            <w:pPr>
              <w:widowControl w:val="0"/>
              <w:spacing w:after="120" w:line="440" w:lineRule="exact"/>
              <w:ind w:left="0" w:leftChars="0" w:firstLine="0" w:firstLineChars="0"/>
              <w:jc w:val="center"/>
              <w:rPr>
                <w:rFonts w:hint="default"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8</w:t>
            </w:r>
          </w:p>
        </w:tc>
        <w:tc>
          <w:tcPr>
            <w:tcW w:w="1977" w:type="dxa"/>
            <w:vAlign w:val="center"/>
          </w:tcPr>
          <w:p w14:paraId="3E10CCA3">
            <w:pPr>
              <w:spacing w:line="360" w:lineRule="exact"/>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bidi="ar"/>
              </w:rPr>
              <w:t>企业认证</w:t>
            </w:r>
          </w:p>
        </w:tc>
        <w:tc>
          <w:tcPr>
            <w:tcW w:w="5786" w:type="dxa"/>
            <w:vAlign w:val="center"/>
          </w:tcPr>
          <w:p w14:paraId="23460D7C">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供应商具有有效期内的质量管理体系认证证书、环境管理体系认证证书、职业健康安全管理体系认证证书，每项得2分，最高得6分。</w:t>
            </w:r>
          </w:p>
          <w:p w14:paraId="46D33C90">
            <w:pPr>
              <w:widowControl w:val="0"/>
              <w:spacing w:after="120" w:line="440" w:lineRule="exact"/>
              <w:ind w:left="0" w:leftChars="0" w:firstLine="0" w:firstLineChars="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color w:val="auto"/>
                <w:kern w:val="2"/>
                <w:sz w:val="24"/>
                <w:szCs w:val="24"/>
                <w:highlight w:val="none"/>
                <w:u w:val="single"/>
                <w:lang w:val="en-US" w:eastAsia="zh-CN" w:bidi="ar-SA"/>
              </w:rPr>
              <w:t>说明：需提供以上认证证书复印件，并提供国家认证认可业务信息统一查询平台（http：//www.cnca.gov.cn）的证书查询截图并加盖公章，否则不得分。</w:t>
            </w:r>
          </w:p>
        </w:tc>
        <w:tc>
          <w:tcPr>
            <w:tcW w:w="993" w:type="dxa"/>
            <w:vAlign w:val="center"/>
          </w:tcPr>
          <w:p w14:paraId="13150DBD">
            <w:pPr>
              <w:widowControl w:val="0"/>
              <w:spacing w:after="120" w:line="440" w:lineRule="exact"/>
              <w:ind w:left="0" w:leftChars="0" w:firstLine="0" w:firstLineChars="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0-6分</w:t>
            </w:r>
          </w:p>
        </w:tc>
      </w:tr>
      <w:tr w14:paraId="3435C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63F8E66A">
            <w:pPr>
              <w:widowControl w:val="0"/>
              <w:spacing w:after="120" w:line="440" w:lineRule="exact"/>
              <w:ind w:left="0" w:leftChars="0" w:firstLine="0" w:firstLineChars="0"/>
              <w:jc w:val="center"/>
              <w:rPr>
                <w:rFonts w:hint="default"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9</w:t>
            </w:r>
          </w:p>
        </w:tc>
        <w:tc>
          <w:tcPr>
            <w:tcW w:w="1977" w:type="dxa"/>
            <w:vAlign w:val="center"/>
          </w:tcPr>
          <w:p w14:paraId="6D43B6A5">
            <w:pPr>
              <w:spacing w:line="360" w:lineRule="exact"/>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bidi="ar"/>
              </w:rPr>
              <w:t>人员配置</w:t>
            </w:r>
          </w:p>
        </w:tc>
        <w:tc>
          <w:tcPr>
            <w:tcW w:w="5786" w:type="dxa"/>
            <w:vAlign w:val="center"/>
          </w:tcPr>
          <w:p w14:paraId="4BB5CE7D">
            <w:pPr>
              <w:keepNext w:val="0"/>
              <w:keepLines w:val="0"/>
              <w:pageBreakBefore w:val="0"/>
              <w:widowControl w:val="0"/>
              <w:numPr>
                <w:ilvl w:val="-1"/>
                <w:numId w:val="0"/>
              </w:numPr>
              <w:kinsoku/>
              <w:overflowPunct/>
              <w:topLinePunct w:val="0"/>
              <w:autoSpaceDE/>
              <w:autoSpaceDN/>
              <w:bidi w:val="0"/>
              <w:spacing w:line="420" w:lineRule="exact"/>
              <w:jc w:val="both"/>
              <w:textAlignment w:val="auto"/>
              <w:rPr>
                <w:rFonts w:ascii="Calibri" w:hAnsi="Calibri" w:eastAsia="宋体" w:cs="Times New Roman"/>
                <w:color w:val="auto"/>
                <w:kern w:val="0"/>
                <w:sz w:val="21"/>
                <w:szCs w:val="24"/>
                <w:highlight w:val="none"/>
                <w:lang w:val="en-US" w:eastAsia="zh-CN" w:bidi="ar-SA"/>
              </w:rPr>
            </w:pPr>
            <w:r>
              <w:rPr>
                <w:rFonts w:hint="eastAsia" w:ascii="仿宋" w:hAnsi="仿宋" w:eastAsia="仿宋" w:cs="仿宋"/>
                <w:b w:val="0"/>
                <w:bCs w:val="0"/>
                <w:color w:val="auto"/>
                <w:kern w:val="0"/>
                <w:sz w:val="24"/>
                <w:szCs w:val="24"/>
                <w:highlight w:val="none"/>
                <w:u w:val="none"/>
                <w:lang w:val="en-US" w:eastAsia="zh-CN" w:bidi="ar"/>
              </w:rPr>
              <w:t>1、项目负责人具备大专及以上学历得2分；</w:t>
            </w:r>
          </w:p>
          <w:p w14:paraId="73BFB586">
            <w:pPr>
              <w:keepNext w:val="0"/>
              <w:keepLines w:val="0"/>
              <w:pageBreakBefore w:val="0"/>
              <w:widowControl w:val="0"/>
              <w:numPr>
                <w:ilvl w:val="-1"/>
                <w:numId w:val="0"/>
              </w:numPr>
              <w:kinsoku/>
              <w:overflowPunct/>
              <w:topLinePunct w:val="0"/>
              <w:autoSpaceDE/>
              <w:autoSpaceDN/>
              <w:bidi w:val="0"/>
              <w:spacing w:line="420" w:lineRule="exact"/>
              <w:jc w:val="both"/>
              <w:textAlignment w:val="auto"/>
              <w:rPr>
                <w:rFonts w:ascii="Calibri" w:hAnsi="Calibri" w:eastAsia="宋体" w:cs="Times New Roman"/>
                <w:color w:val="auto"/>
                <w:kern w:val="0"/>
                <w:sz w:val="21"/>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2、为本项目提供服务的人员(含项目负责人）</w:t>
            </w:r>
            <w:r>
              <w:rPr>
                <w:rFonts w:hint="eastAsia" w:ascii="仿宋" w:hAnsi="仿宋" w:eastAsia="仿宋" w:cs="仿宋"/>
                <w:b w:val="0"/>
                <w:bCs w:val="0"/>
                <w:color w:val="auto"/>
                <w:kern w:val="0"/>
                <w:sz w:val="24"/>
                <w:szCs w:val="24"/>
                <w:highlight w:val="none"/>
                <w:u w:val="none"/>
                <w:lang w:val="en-US" w:eastAsia="zh-CN" w:bidi="ar"/>
              </w:rPr>
              <w:t>具有三级及以上保安员职业技能等级证书的，每提供一个得2分，最高得6分；</w:t>
            </w:r>
          </w:p>
          <w:p w14:paraId="30079C99">
            <w:pPr>
              <w:widowControl w:val="0"/>
              <w:numPr>
                <w:ilvl w:val="-1"/>
                <w:numId w:val="0"/>
              </w:numPr>
              <w:spacing w:after="120" w:line="440" w:lineRule="exact"/>
              <w:ind w:left="0" w:leftChars="0" w:firstLine="0" w:firstLineChars="0"/>
              <w:jc w:val="both"/>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注：提供人员证书、相应的证明材料及</w:t>
            </w:r>
            <w:r>
              <w:rPr>
                <w:rFonts w:hint="eastAsia" w:ascii="仿宋" w:hAnsi="仿宋" w:eastAsia="仿宋" w:cs="仿宋"/>
                <w:color w:val="auto"/>
                <w:kern w:val="0"/>
                <w:sz w:val="24"/>
                <w:szCs w:val="24"/>
                <w:highlight w:val="none"/>
                <w:u w:val="none"/>
                <w:lang w:val="en-US" w:eastAsia="zh-CN" w:bidi="ar"/>
              </w:rPr>
              <w:t>距离磋商截止之日止近三个月中任意一个月的社保缴纳证明复印件（或扫描件）并加盖公章，不提供不得分。</w:t>
            </w:r>
          </w:p>
        </w:tc>
        <w:tc>
          <w:tcPr>
            <w:tcW w:w="993" w:type="dxa"/>
            <w:vAlign w:val="center"/>
          </w:tcPr>
          <w:p w14:paraId="4DDAED71">
            <w:pPr>
              <w:widowControl w:val="0"/>
              <w:spacing w:after="120" w:line="440" w:lineRule="exact"/>
              <w:ind w:left="0" w:leftChars="0" w:firstLine="0" w:firstLineChars="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0-8分</w:t>
            </w:r>
          </w:p>
        </w:tc>
      </w:tr>
    </w:tbl>
    <w:p w14:paraId="2DEA4896">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注：①所有证书</w:t>
      </w: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lang w:val="en-US" w:eastAsia="zh-CN"/>
        </w:rPr>
        <w:t>证明材料</w:t>
      </w:r>
      <w:r>
        <w:rPr>
          <w:rFonts w:hint="eastAsia" w:ascii="仿宋" w:hAnsi="仿宋" w:eastAsia="仿宋" w:cs="仿宋"/>
          <w:b/>
          <w:color w:val="auto"/>
          <w:sz w:val="24"/>
          <w:highlight w:val="none"/>
        </w:rPr>
        <w:t>须在有效期内，不在有效期内的不得分；如出现与事实不符等情况，将根据有关规定以“提供虚假材料谋取中标”予以处理。</w:t>
      </w:r>
    </w:p>
    <w:p w14:paraId="09C8EC38">
      <w:pPr>
        <w:numPr>
          <w:ilvl w:val="255"/>
          <w:numId w:val="0"/>
        </w:numPr>
        <w:spacing w:line="360" w:lineRule="auto"/>
        <w:ind w:left="420" w:left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②</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mailto:投标供应商应提供以上相关材料的复印件，并加盖公章。在投标截止日前投标人应在开标日前将相关原件的照片发送至代理机构指定邮箱（231286730@qq.com），以备核验，若核验时未提供相关原件的，该相关部分评分时不予认可。" </w:instrText>
      </w:r>
      <w:r>
        <w:rPr>
          <w:rFonts w:hint="eastAsia" w:ascii="仿宋" w:hAnsi="仿宋" w:eastAsia="仿宋" w:cs="仿宋"/>
          <w:color w:val="auto"/>
          <w:highlight w:val="none"/>
        </w:rPr>
        <w:fldChar w:fldCharType="separate"/>
      </w:r>
      <w:r>
        <w:rPr>
          <w:rFonts w:hint="eastAsia" w:ascii="仿宋" w:hAnsi="仿宋" w:eastAsia="仿宋" w:cs="仿宋"/>
          <w:b/>
          <w:color w:val="auto"/>
          <w:sz w:val="24"/>
          <w:highlight w:val="none"/>
        </w:rPr>
        <w:t>供应商应提供以上相关材料的复印件，并加盖公章。</w:t>
      </w:r>
      <w:r>
        <w:rPr>
          <w:rFonts w:hint="eastAsia" w:ascii="仿宋" w:hAnsi="仿宋" w:eastAsia="仿宋" w:cs="仿宋"/>
          <w:b/>
          <w:color w:val="auto"/>
          <w:sz w:val="24"/>
          <w:highlight w:val="none"/>
        </w:rPr>
        <w:fldChar w:fldCharType="end"/>
      </w:r>
    </w:p>
    <w:p w14:paraId="5EA74F42">
      <w:pPr>
        <w:numPr>
          <w:ilvl w:val="255"/>
          <w:numId w:val="0"/>
        </w:num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    3、技术、商务分的计算</w:t>
      </w:r>
    </w:p>
    <w:p w14:paraId="0FCDB97A">
      <w:p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技术、商务分按照磋商小组成员的独立评分结果汇总数算术平均分计算，计算公式为：</w:t>
      </w:r>
    </w:p>
    <w:p w14:paraId="24D2A3EC">
      <w:p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技术、商务分=（磋商小组成员评分合计数）/（磋商小组组成人员数）</w:t>
      </w:r>
    </w:p>
    <w:p w14:paraId="3EBC1ED2">
      <w:pPr>
        <w:widowControl/>
        <w:autoSpaceDE w:val="0"/>
        <w:autoSpaceDN w:val="0"/>
        <w:snapToGrid w:val="0"/>
        <w:spacing w:line="360" w:lineRule="auto"/>
        <w:jc w:val="left"/>
        <w:textAlignment w:val="bottom"/>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    4、评审方法</w:t>
      </w:r>
    </w:p>
    <w:p w14:paraId="45A1F6F0">
      <w:pPr>
        <w:widowControl/>
        <w:autoSpaceDE w:val="0"/>
        <w:autoSpaceDN w:val="0"/>
        <w:snapToGrid w:val="0"/>
        <w:spacing w:line="360" w:lineRule="auto"/>
        <w:jc w:val="left"/>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磋商小组根据磋商情况及各供应商完工时间、服务条款响应情况、技术方案、提供服务的质量、付款方式、供应商综合实力、资信情况、承诺的售后服务等多方面进行评审。</w:t>
      </w:r>
    </w:p>
    <w:p w14:paraId="66FDC36D">
      <w:pPr>
        <w:widowControl/>
        <w:autoSpaceDE w:val="0"/>
        <w:autoSpaceDN w:val="0"/>
        <w:snapToGrid w:val="0"/>
        <w:spacing w:line="360" w:lineRule="auto"/>
        <w:ind w:firstLine="480" w:firstLineChars="200"/>
        <w:jc w:val="left"/>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确定进入最终报价的供应商名单。</w:t>
      </w:r>
    </w:p>
    <w:p w14:paraId="0486CDD3">
      <w:pPr>
        <w:widowControl/>
        <w:autoSpaceDE w:val="0"/>
        <w:autoSpaceDN w:val="0"/>
        <w:snapToGrid w:val="0"/>
        <w:spacing w:line="360" w:lineRule="auto"/>
        <w:jc w:val="left"/>
        <w:textAlignment w:val="bottom"/>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    5、推荐成交供应商</w:t>
      </w:r>
    </w:p>
    <w:p w14:paraId="5F3B256F">
      <w:pPr>
        <w:widowControl/>
        <w:autoSpaceDE w:val="0"/>
        <w:autoSpaceDN w:val="0"/>
        <w:snapToGrid w:val="0"/>
        <w:spacing w:line="360" w:lineRule="auto"/>
        <w:jc w:val="left"/>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磋商小组推荐综合得分第一名的供应商为成交供应商，第二名的为候补成交供应商……依次类推。成交候选供应商资格按评标总分由高到低顺序排列，评标总分相同的，按照最后报价由低到高的顺序推荐。评审总分且最后报价相同的并列，由采购人或磋商小组随机抽取确定成交供应商。并编写评审报告。</w:t>
      </w:r>
    </w:p>
    <w:p w14:paraId="53BCA4FE">
      <w:pPr>
        <w:pStyle w:val="3"/>
        <w:spacing w:before="0" w:after="0" w:line="360" w:lineRule="auto"/>
        <w:rPr>
          <w:rFonts w:hint="eastAsia" w:ascii="仿宋" w:hAnsi="仿宋" w:eastAsia="仿宋" w:cs="仿宋"/>
          <w:color w:val="auto"/>
          <w:sz w:val="24"/>
          <w:szCs w:val="24"/>
          <w:highlight w:val="none"/>
        </w:rPr>
      </w:pPr>
      <w:bookmarkStart w:id="243" w:name="_Toc20293"/>
      <w:bookmarkStart w:id="244" w:name="_Toc5918"/>
      <w:bookmarkStart w:id="245" w:name="_Toc402872212"/>
      <w:bookmarkStart w:id="246" w:name="_Toc32331"/>
      <w:bookmarkStart w:id="247" w:name="_Toc8588"/>
      <w:bookmarkStart w:id="248" w:name="_Toc2642"/>
      <w:r>
        <w:rPr>
          <w:rFonts w:hint="eastAsia" w:ascii="仿宋" w:hAnsi="仿宋" w:eastAsia="仿宋" w:cs="仿宋"/>
          <w:color w:val="auto"/>
          <w:sz w:val="24"/>
          <w:szCs w:val="24"/>
          <w:highlight w:val="none"/>
        </w:rPr>
        <w:t>八、 成交通知、授予合同</w:t>
      </w:r>
      <w:bookmarkEnd w:id="243"/>
      <w:bookmarkEnd w:id="244"/>
      <w:bookmarkEnd w:id="245"/>
      <w:bookmarkEnd w:id="246"/>
      <w:bookmarkEnd w:id="247"/>
      <w:bookmarkEnd w:id="248"/>
    </w:p>
    <w:p w14:paraId="4CD8269B">
      <w:pPr>
        <w:widowControl/>
        <w:autoSpaceDE w:val="0"/>
        <w:autoSpaceDN w:val="0"/>
        <w:snapToGrid w:val="0"/>
        <w:spacing w:line="360" w:lineRule="auto"/>
        <w:jc w:val="left"/>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1、经磋商小组审查，确定成交候选人，发出成交通知书。</w:t>
      </w:r>
    </w:p>
    <w:p w14:paraId="0B6C81B5">
      <w:pPr>
        <w:widowControl/>
        <w:autoSpaceDE w:val="0"/>
        <w:autoSpaceDN w:val="0"/>
        <w:snapToGrid w:val="0"/>
        <w:spacing w:line="360" w:lineRule="auto"/>
        <w:ind w:firstLine="480" w:firstLineChars="200"/>
        <w:jc w:val="left"/>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2、成交供应商凭成交通知书在30天内签订合同，逾期取消成交资格。</w:t>
      </w:r>
    </w:p>
    <w:p w14:paraId="6C43C258">
      <w:pPr>
        <w:widowControl/>
        <w:autoSpaceDE w:val="0"/>
        <w:autoSpaceDN w:val="0"/>
        <w:snapToGrid w:val="0"/>
        <w:spacing w:line="360" w:lineRule="auto"/>
        <w:ind w:firstLine="480" w:firstLineChars="200"/>
        <w:jc w:val="left"/>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3、成交供应商在规定的时间内不履行合同，按违约处理，并按有关规定承担违约责任。</w:t>
      </w:r>
    </w:p>
    <w:p w14:paraId="40AB0CAA">
      <w:pPr>
        <w:pStyle w:val="2"/>
        <w:ind w:left="360"/>
        <w:jc w:val="center"/>
        <w:outlineLvl w:val="9"/>
        <w:rPr>
          <w:rFonts w:hint="eastAsia" w:ascii="仿宋" w:hAnsi="仿宋" w:eastAsia="仿宋" w:cs="仿宋"/>
          <w:color w:val="auto"/>
          <w:highlight w:val="none"/>
        </w:rPr>
        <w:sectPr>
          <w:footerReference r:id="rId6" w:type="first"/>
          <w:footerReference r:id="rId5" w:type="default"/>
          <w:pgSz w:w="11906" w:h="16838"/>
          <w:pgMar w:top="1440" w:right="1080" w:bottom="1440" w:left="1080" w:header="567" w:footer="567" w:gutter="0"/>
          <w:pgBorders>
            <w:top w:val="none" w:sz="0" w:space="0"/>
            <w:left w:val="none" w:sz="0" w:space="0"/>
            <w:bottom w:val="thickThinSmallGap" w:color="auto" w:sz="18" w:space="1"/>
            <w:right w:val="none" w:sz="0" w:space="0"/>
          </w:pgBorders>
          <w:pgNumType w:fmt="decimal" w:start="1"/>
          <w:cols w:space="720" w:num="1"/>
          <w:titlePg/>
          <w:docGrid w:type="lines" w:linePitch="312" w:charSpace="0"/>
        </w:sectPr>
      </w:pPr>
      <w:bookmarkStart w:id="249" w:name="_Toc18825"/>
      <w:bookmarkStart w:id="250" w:name="_Toc8563"/>
    </w:p>
    <w:p w14:paraId="77057C97">
      <w:pPr>
        <w:pStyle w:val="2"/>
        <w:ind w:left="360"/>
        <w:jc w:val="center"/>
        <w:rPr>
          <w:rFonts w:hint="eastAsia" w:ascii="仿宋" w:hAnsi="仿宋" w:eastAsia="仿宋" w:cs="仿宋"/>
          <w:color w:val="auto"/>
          <w:highlight w:val="none"/>
        </w:rPr>
      </w:pPr>
      <w:bookmarkStart w:id="251" w:name="_Toc29"/>
      <w:bookmarkStart w:id="252" w:name="_Toc10157"/>
      <w:r>
        <w:rPr>
          <w:rStyle w:val="42"/>
          <w:rFonts w:hint="eastAsia" w:ascii="仿宋" w:hAnsi="仿宋" w:eastAsia="仿宋" w:cs="仿宋"/>
          <w:b/>
          <w:bCs/>
          <w:color w:val="auto"/>
          <w:highlight w:val="none"/>
        </w:rPr>
        <w:t>第五章 合同主要条款</w:t>
      </w:r>
      <w:bookmarkEnd w:id="249"/>
      <w:r>
        <w:rPr>
          <w:rFonts w:hint="eastAsia" w:ascii="仿宋" w:hAnsi="仿宋" w:eastAsia="仿宋" w:cs="仿宋"/>
          <w:color w:val="auto"/>
          <w:sz w:val="21"/>
          <w:szCs w:val="21"/>
          <w:highlight w:val="none"/>
        </w:rPr>
        <w:t>（仅供参考）</w:t>
      </w:r>
      <w:bookmarkEnd w:id="250"/>
      <w:bookmarkEnd w:id="251"/>
      <w:bookmarkEnd w:id="252"/>
    </w:p>
    <w:p w14:paraId="3177E850">
      <w:pPr>
        <w:spacing w:line="360" w:lineRule="auto"/>
        <w:rPr>
          <w:rFonts w:hint="eastAsia" w:ascii="仿宋" w:hAnsi="仿宋" w:eastAsia="仿宋" w:cs="仿宋"/>
          <w:b/>
          <w:bCs/>
          <w:color w:val="auto"/>
          <w:sz w:val="24"/>
          <w:highlight w:val="none"/>
        </w:rPr>
      </w:pPr>
      <w:bookmarkStart w:id="253" w:name="_Toc12086"/>
      <w:bookmarkStart w:id="254" w:name="_Toc7329"/>
      <w:r>
        <w:rPr>
          <w:rFonts w:hint="eastAsia" w:ascii="仿宋" w:hAnsi="仿宋" w:eastAsia="仿宋" w:cs="仿宋"/>
          <w:b/>
          <w:bCs/>
          <w:color w:val="auto"/>
          <w:sz w:val="24"/>
          <w:highlight w:val="none"/>
        </w:rPr>
        <w:t>1.定义</w:t>
      </w:r>
    </w:p>
    <w:p w14:paraId="2E7B545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本合同中的下列术语应解释为：</w:t>
      </w:r>
    </w:p>
    <w:p w14:paraId="4B66FA5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1.1“合同”系指供需双方签署的、合同格式中载明的供需双方所达成的协议，包括所有的附件、附录和构成合同的所有文件；</w:t>
      </w:r>
    </w:p>
    <w:p w14:paraId="17198E4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1.2“合同价”系指根据合同规定，采购人在供应商完全履行合同义务后应付给的价格；</w:t>
      </w:r>
    </w:p>
    <w:p w14:paraId="3D382A7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1.3“货物”系指供应商根据合同规定向采购人提供的一切货物、质量保证书和其他技术资料及技术参数；</w:t>
      </w:r>
    </w:p>
    <w:p w14:paraId="19079DA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1.4“服务”系指根据合同规定供应商承担与供货有关的辅助服务，如运输、装卸、安装、保险以及其他的服务，例如安装、调试提供技术援助、培训和其他类似的义务；</w:t>
      </w:r>
    </w:p>
    <w:p w14:paraId="3253C22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1.5“采购人”系指</w:t>
      </w:r>
      <w:r>
        <w:rPr>
          <w:rFonts w:hint="eastAsia" w:ascii="仿宋" w:hAnsi="仿宋" w:eastAsia="仿宋" w:cs="仿宋"/>
          <w:bCs/>
          <w:color w:val="auto"/>
          <w:sz w:val="24"/>
          <w:highlight w:val="none"/>
        </w:rPr>
        <w:t>具体使用货物和接受服务的使用单位；</w:t>
      </w:r>
    </w:p>
    <w:p w14:paraId="0CB27D7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1.6“供应商”系指根据合同规定提供采购项目货物和服务的具有法人资格的公司、企业或实体；</w:t>
      </w:r>
    </w:p>
    <w:p w14:paraId="2329FC8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1.7“财政审批编号”系指市财政局审批编号。</w:t>
      </w:r>
    </w:p>
    <w:p w14:paraId="18A66CD6">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2.合同项目与内容</w:t>
      </w:r>
    </w:p>
    <w:p w14:paraId="378002C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采购项目</w:t>
      </w:r>
    </w:p>
    <w:p w14:paraId="48BB10DC">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3.服务时间与服务地点</w:t>
      </w:r>
    </w:p>
    <w:p w14:paraId="1945058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服务时间：详见招标文件要求；</w:t>
      </w:r>
    </w:p>
    <w:p w14:paraId="7329068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服务地点：由采购单位指定。</w:t>
      </w:r>
    </w:p>
    <w:p w14:paraId="629D5030">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4.签署合同的要求</w:t>
      </w:r>
    </w:p>
    <w:p w14:paraId="66B94632">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4.1、供应商必须按照投标文件和询标过程中承诺的条款以及中标通知书中规定的时间、地点与采购人签订合同；</w:t>
      </w:r>
    </w:p>
    <w:p w14:paraId="7473E1E7">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4.2、所签订的合同内容不得对招标文件和供应商的投标文件作实质性修改；</w:t>
      </w:r>
    </w:p>
    <w:p w14:paraId="3D69823A">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4.3、采购人不得向供应商提出任何不合理的要求，作为签订合同的条件，不得与供应商私下订立背离合同实质性内容的协议；</w:t>
      </w:r>
    </w:p>
    <w:p w14:paraId="0A56BD89">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4.4、自采购合同签订之日起 7个工作日内，将采购合同副本2份送本项目招标代理机构、同级人民政府财政部门备案。</w:t>
      </w:r>
    </w:p>
    <w:p w14:paraId="1DEEC166">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5.技术规范</w:t>
      </w:r>
    </w:p>
    <w:p w14:paraId="134EC36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本合同执行国家及本省、市现行项目实施及验收规范及有关条例、实施办法等。</w:t>
      </w:r>
      <w:r>
        <w:rPr>
          <w:rFonts w:hint="eastAsia" w:ascii="仿宋" w:hAnsi="仿宋" w:eastAsia="仿宋" w:cs="仿宋"/>
          <w:color w:val="auto"/>
          <w:sz w:val="24"/>
          <w:highlight w:val="none"/>
        </w:rPr>
        <w:t>提供和交付的服务技术规范应与招标文件规定的技术规范相一致。</w:t>
      </w:r>
    </w:p>
    <w:p w14:paraId="4C4CC2A6">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6.知识产权</w:t>
      </w:r>
    </w:p>
    <w:p w14:paraId="4FBE888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供应商保证所提供的服务及货物均不存在知识产权纠纷。供应商应保证采购人在使用时不受第三方提出侵犯其专利权、商标权等知识产权的诉讼。</w:t>
      </w:r>
    </w:p>
    <w:p w14:paraId="4CA7D28F">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7.</w:t>
      </w:r>
      <w:r>
        <w:rPr>
          <w:rFonts w:hint="eastAsia" w:ascii="仿宋" w:hAnsi="仿宋" w:eastAsia="仿宋" w:cs="仿宋"/>
          <w:color w:val="auto"/>
          <w:sz w:val="24"/>
          <w:highlight w:val="none"/>
        </w:rPr>
        <w:t xml:space="preserve"> </w:t>
      </w:r>
      <w:r>
        <w:rPr>
          <w:rFonts w:hint="eastAsia" w:ascii="仿宋" w:hAnsi="仿宋" w:eastAsia="仿宋" w:cs="仿宋"/>
          <w:b/>
          <w:bCs/>
          <w:color w:val="auto"/>
          <w:sz w:val="24"/>
          <w:highlight w:val="none"/>
        </w:rPr>
        <w:t>工作考核及付款方式</w:t>
      </w:r>
    </w:p>
    <w:p w14:paraId="140DD71C">
      <w:pPr>
        <w:spacing w:line="360" w:lineRule="auto"/>
        <w:ind w:firstLine="482" w:firstLineChars="200"/>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rPr>
        <w:t>合同生效及具备实施条件后</w:t>
      </w:r>
      <w:r>
        <w:rPr>
          <w:rFonts w:hint="eastAsia" w:ascii="仿宋" w:hAnsi="仿宋" w:eastAsia="仿宋" w:cs="仿宋"/>
          <w:b/>
          <w:bCs/>
          <w:color w:val="auto"/>
          <w:sz w:val="24"/>
          <w:highlight w:val="none"/>
          <w:lang w:val="en-US" w:eastAsia="zh-CN"/>
        </w:rPr>
        <w:t>7个工作</w:t>
      </w:r>
      <w:r>
        <w:rPr>
          <w:rFonts w:hint="eastAsia" w:ascii="仿宋" w:hAnsi="仿宋" w:eastAsia="仿宋" w:cs="仿宋"/>
          <w:b/>
          <w:bCs/>
          <w:color w:val="auto"/>
          <w:sz w:val="24"/>
          <w:highlight w:val="none"/>
        </w:rPr>
        <w:t>日内支付</w:t>
      </w:r>
      <w:r>
        <w:rPr>
          <w:rFonts w:hint="eastAsia" w:ascii="仿宋" w:hAnsi="仿宋" w:eastAsia="仿宋" w:cs="仿宋"/>
          <w:b/>
          <w:bCs/>
          <w:color w:val="auto"/>
          <w:sz w:val="24"/>
          <w:highlight w:val="none"/>
          <w:lang w:val="en-US" w:eastAsia="zh-CN"/>
        </w:rPr>
        <w:t>合同金额4</w:t>
      </w:r>
      <w:r>
        <w:rPr>
          <w:rFonts w:hint="eastAsia" w:ascii="仿宋" w:hAnsi="仿宋" w:eastAsia="仿宋" w:cs="仿宋"/>
          <w:b/>
          <w:bCs/>
          <w:color w:val="auto"/>
          <w:sz w:val="24"/>
          <w:highlight w:val="none"/>
        </w:rPr>
        <w:t>0%</w:t>
      </w:r>
      <w:r>
        <w:rPr>
          <w:rFonts w:hint="eastAsia" w:ascii="仿宋" w:hAnsi="仿宋" w:eastAsia="仿宋" w:cs="仿宋"/>
          <w:b/>
          <w:bCs/>
          <w:color w:val="auto"/>
          <w:sz w:val="24"/>
          <w:highlight w:val="none"/>
          <w:lang w:val="en-US" w:eastAsia="zh-CN"/>
        </w:rPr>
        <w:t>的</w:t>
      </w:r>
      <w:r>
        <w:rPr>
          <w:rFonts w:hint="eastAsia" w:ascii="仿宋" w:hAnsi="仿宋" w:eastAsia="仿宋" w:cs="仿宋"/>
          <w:b/>
          <w:bCs/>
          <w:color w:val="auto"/>
          <w:sz w:val="24"/>
          <w:highlight w:val="none"/>
        </w:rPr>
        <w:t>预付款</w:t>
      </w:r>
      <w:r>
        <w:rPr>
          <w:rFonts w:hint="eastAsia" w:ascii="仿宋" w:hAnsi="仿宋" w:eastAsia="仿宋" w:cs="仿宋"/>
          <w:b/>
          <w:bCs/>
          <w:color w:val="auto"/>
          <w:sz w:val="24"/>
          <w:highlight w:val="none"/>
          <w:lang w:eastAsia="zh-CN"/>
        </w:rPr>
        <w:t>。</w:t>
      </w:r>
    </w:p>
    <w:p w14:paraId="565780EC">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双方约定每</w:t>
      </w:r>
      <w:r>
        <w:rPr>
          <w:rFonts w:hint="eastAsia" w:ascii="仿宋" w:hAnsi="仿宋" w:eastAsia="仿宋" w:cs="仿宋"/>
          <w:b/>
          <w:bCs/>
          <w:color w:val="auto"/>
          <w:sz w:val="24"/>
          <w:highlight w:val="none"/>
          <w:lang w:eastAsia="zh-CN"/>
        </w:rPr>
        <w:t>季度</w:t>
      </w:r>
      <w:r>
        <w:rPr>
          <w:rFonts w:hint="eastAsia" w:ascii="仿宋" w:hAnsi="仿宋" w:eastAsia="仿宋" w:cs="仿宋"/>
          <w:b/>
          <w:bCs/>
          <w:color w:val="auto"/>
          <w:sz w:val="24"/>
          <w:highlight w:val="none"/>
          <w:lang w:val="en-US" w:eastAsia="zh-CN"/>
        </w:rPr>
        <w:t>支付</w:t>
      </w:r>
      <w:r>
        <w:rPr>
          <w:rFonts w:hint="eastAsia" w:ascii="仿宋" w:hAnsi="仿宋" w:eastAsia="仿宋" w:cs="仿宋"/>
          <w:b/>
          <w:bCs/>
          <w:color w:val="auto"/>
          <w:sz w:val="24"/>
          <w:highlight w:val="none"/>
        </w:rPr>
        <w:t>一次，于</w:t>
      </w:r>
      <w:r>
        <w:rPr>
          <w:rFonts w:hint="eastAsia" w:ascii="仿宋" w:hAnsi="仿宋" w:eastAsia="仿宋" w:cs="仿宋"/>
          <w:b/>
          <w:bCs/>
          <w:color w:val="auto"/>
          <w:sz w:val="24"/>
          <w:highlight w:val="none"/>
          <w:lang w:eastAsia="zh-CN"/>
        </w:rPr>
        <w:t>该季度</w:t>
      </w:r>
      <w:r>
        <w:rPr>
          <w:rFonts w:hint="eastAsia" w:ascii="仿宋" w:hAnsi="仿宋" w:eastAsia="仿宋" w:cs="仿宋"/>
          <w:b/>
          <w:bCs/>
          <w:color w:val="auto"/>
          <w:sz w:val="24"/>
          <w:highlight w:val="none"/>
          <w:lang w:val="en-US" w:eastAsia="zh-CN"/>
        </w:rPr>
        <w:t>末按实</w:t>
      </w:r>
      <w:r>
        <w:rPr>
          <w:rFonts w:hint="eastAsia" w:ascii="仿宋" w:hAnsi="仿宋" w:eastAsia="仿宋" w:cs="仿宋"/>
          <w:b/>
          <w:bCs/>
          <w:color w:val="auto"/>
          <w:sz w:val="24"/>
          <w:highlight w:val="none"/>
        </w:rPr>
        <w:t>结清</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lang w:val="en-US" w:eastAsia="zh-CN"/>
        </w:rPr>
        <w:t>累计超过合同金额的40%起继续按实支付</w:t>
      </w:r>
      <w:r>
        <w:rPr>
          <w:rFonts w:hint="eastAsia" w:ascii="仿宋" w:hAnsi="仿宋" w:eastAsia="仿宋" w:cs="仿宋"/>
          <w:b/>
          <w:bCs/>
          <w:color w:val="auto"/>
          <w:sz w:val="24"/>
          <w:highlight w:val="none"/>
        </w:rPr>
        <w:t>。</w:t>
      </w:r>
    </w:p>
    <w:p w14:paraId="19678AC4">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注：若</w:t>
      </w:r>
      <w:r>
        <w:rPr>
          <w:rFonts w:hint="eastAsia" w:ascii="仿宋" w:hAnsi="仿宋" w:eastAsia="仿宋" w:cs="仿宋"/>
          <w:b/>
          <w:bCs/>
          <w:color w:val="auto"/>
          <w:sz w:val="24"/>
          <w:highlight w:val="none"/>
          <w:lang w:val="en-US" w:eastAsia="zh-CN"/>
        </w:rPr>
        <w:t>成交</w:t>
      </w:r>
      <w:r>
        <w:rPr>
          <w:rFonts w:hint="eastAsia" w:ascii="仿宋" w:hAnsi="仿宋" w:eastAsia="仿宋" w:cs="仿宋"/>
          <w:b/>
          <w:bCs/>
          <w:color w:val="auto"/>
          <w:sz w:val="24"/>
          <w:highlight w:val="none"/>
        </w:rPr>
        <w:t>供应商明确表示无需预付款或主动要求降低预付款比例的，采购人可不适用前述规定。</w:t>
      </w:r>
    </w:p>
    <w:p w14:paraId="2AE7C06E">
      <w:pPr>
        <w:spacing w:line="360" w:lineRule="auto"/>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8.支付</w:t>
      </w:r>
      <w:r>
        <w:rPr>
          <w:rFonts w:hint="eastAsia" w:ascii="仿宋" w:hAnsi="仿宋" w:eastAsia="仿宋" w:cs="仿宋"/>
          <w:color w:val="auto"/>
          <w:sz w:val="24"/>
          <w:highlight w:val="none"/>
        </w:rPr>
        <w:t>：支付应使用人民币；</w:t>
      </w:r>
    </w:p>
    <w:p w14:paraId="7586F5FA">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9.技术服务</w:t>
      </w:r>
    </w:p>
    <w:p w14:paraId="40E3A35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供应商应负责安排采购人相关人员进行操作、维修的培训。具体时间及培训内容在投标时由供应商提出建议；</w:t>
      </w:r>
    </w:p>
    <w:p w14:paraId="420097DB">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10.售后服务及承诺</w:t>
      </w:r>
    </w:p>
    <w:p w14:paraId="4782480C">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10.1供应商应明确承诺售后服务各项内容和措施，提供详细的服务地点、联系人、电话等有关资料；</w:t>
      </w:r>
    </w:p>
    <w:p w14:paraId="62134D8E">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10.2</w:t>
      </w:r>
      <w:r>
        <w:rPr>
          <w:rFonts w:hint="eastAsia" w:ascii="仿宋" w:hAnsi="仿宋" w:eastAsia="仿宋" w:cs="仿宋"/>
          <w:b/>
          <w:bCs/>
          <w:color w:val="auto"/>
          <w:sz w:val="24"/>
          <w:highlight w:val="none"/>
        </w:rPr>
        <w:t>服务期：详见</w:t>
      </w:r>
      <w:r>
        <w:rPr>
          <w:rFonts w:hint="eastAsia" w:ascii="仿宋" w:hAnsi="仿宋" w:eastAsia="仿宋" w:cs="仿宋"/>
          <w:b/>
          <w:bCs/>
          <w:color w:val="auto"/>
          <w:sz w:val="24"/>
          <w:highlight w:val="none"/>
          <w:lang w:val="en-US" w:eastAsia="zh-CN"/>
        </w:rPr>
        <w:t>采购</w:t>
      </w:r>
      <w:r>
        <w:rPr>
          <w:rFonts w:hint="eastAsia" w:ascii="仿宋" w:hAnsi="仿宋" w:eastAsia="仿宋" w:cs="仿宋"/>
          <w:b/>
          <w:bCs/>
          <w:color w:val="auto"/>
          <w:sz w:val="24"/>
          <w:highlight w:val="none"/>
        </w:rPr>
        <w:t>文件要求</w:t>
      </w:r>
      <w:r>
        <w:rPr>
          <w:rFonts w:hint="eastAsia" w:ascii="仿宋" w:hAnsi="仿宋" w:eastAsia="仿宋" w:cs="仿宋"/>
          <w:bCs/>
          <w:color w:val="auto"/>
          <w:sz w:val="24"/>
          <w:highlight w:val="none"/>
        </w:rPr>
        <w:t>。在服务期内，因服务质量所发生的一切费用均由供应商承担；</w:t>
      </w:r>
    </w:p>
    <w:p w14:paraId="46695F11">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11.履约保证及后续服务</w:t>
      </w:r>
    </w:p>
    <w:p w14:paraId="1B4294B9">
      <w:pPr>
        <w:spacing w:line="360" w:lineRule="auto"/>
        <w:ind w:firstLine="482" w:firstLineChars="200"/>
        <w:rPr>
          <w:rFonts w:hint="default" w:ascii="仿宋" w:hAnsi="仿宋" w:eastAsia="仿宋" w:cs="仿宋"/>
          <w:b/>
          <w:bCs/>
          <w:color w:val="auto"/>
          <w:sz w:val="24"/>
          <w:highlight w:val="none"/>
          <w:lang w:val="en-US"/>
        </w:rPr>
      </w:pPr>
      <w:r>
        <w:rPr>
          <w:rFonts w:hint="eastAsia" w:ascii="仿宋" w:hAnsi="仿宋" w:eastAsia="仿宋" w:cs="仿宋"/>
          <w:b/>
          <w:bCs/>
          <w:color w:val="auto"/>
          <w:sz w:val="24"/>
          <w:highlight w:val="none"/>
        </w:rPr>
        <w:t xml:space="preserve">11.1 </w:t>
      </w:r>
      <w:r>
        <w:rPr>
          <w:rFonts w:hint="eastAsia" w:ascii="仿宋" w:hAnsi="仿宋" w:eastAsia="仿宋" w:cs="仿宋"/>
          <w:b w:val="0"/>
          <w:bCs/>
          <w:color w:val="auto"/>
          <w:sz w:val="24"/>
          <w:highlight w:val="none"/>
        </w:rPr>
        <w:t>履约保证金：</w:t>
      </w:r>
      <w:r>
        <w:rPr>
          <w:rFonts w:hint="eastAsia" w:ascii="仿宋" w:hAnsi="仿宋" w:eastAsia="仿宋" w:cs="仿宋"/>
          <w:b w:val="0"/>
          <w:bCs/>
          <w:color w:val="auto"/>
          <w:sz w:val="24"/>
          <w:highlight w:val="none"/>
          <w:lang w:val="en-US" w:eastAsia="zh-CN"/>
        </w:rPr>
        <w:t>无</w:t>
      </w:r>
    </w:p>
    <w:p w14:paraId="70A12F35">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11.2 供应商应按招标文件规定的服务标准向采购人提供服务。</w:t>
      </w:r>
    </w:p>
    <w:p w14:paraId="1BB5F502">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11.3 如采购人检查发现供应商提供的服务服务不符合标准要求，供应商应立即进行整改，直到符合要求为止。采购人可根据考核标准中扣除供应商因检查不合格而应该扣罚的款项（扣罚款项在签订合同时明确）。</w:t>
      </w:r>
    </w:p>
    <w:p w14:paraId="37535151">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11.4 供应商提供的服务人员不符合本合同约定的数额，供应商应当自接到采购人通知之日起2日内予以补足，采购人有权按照缺岗天数及缺岗人数扣除相应的履约保证金。</w:t>
      </w:r>
    </w:p>
    <w:p w14:paraId="50A7D204">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11.5 由于供应商服务人员原因在服务工作中给采购人的设施、材料造成损失，供应商应负责赔偿。</w:t>
      </w:r>
    </w:p>
    <w:p w14:paraId="63A0CCAE">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11.</w:t>
      </w: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在服务质量保证期内，供应商应对出现的服务质量及安全问题负责处理解决并承担一切费用。</w:t>
      </w:r>
    </w:p>
    <w:p w14:paraId="28E5CE84">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12.违约责任</w:t>
      </w:r>
    </w:p>
    <w:p w14:paraId="467AC3F4">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12.1 采购人无正当理由拒收接受服务的，采购人向供应商偿付合同款项百分之五作为违约金。</w:t>
      </w:r>
    </w:p>
    <w:p w14:paraId="51AAC741">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12.2 采购人无故逾期验收和办理款项支付手续的,采购人应按逾期付款总额每日万分之五向供应商支付违约金。</w:t>
      </w:r>
    </w:p>
    <w:p w14:paraId="5C0B658F">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12.3 供应商不按约定提供服务的，每日向采购人支付千分之六违约金。逾期提供服务超过约定日期10个工作日的，采购人可解除本合同。供应商因逾期提供服务或因其他违约行为导致采购人解除合同的，供应商应向采购人支付合同总值5%的违约金，如造成采购人损失超过违约金的，超出部分由供应商继续承担赔偿责任。</w:t>
      </w:r>
    </w:p>
    <w:p w14:paraId="17A18529">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12.4</w:t>
      </w:r>
      <w:r>
        <w:rPr>
          <w:rFonts w:hint="eastAsia" w:ascii="仿宋" w:hAnsi="仿宋" w:eastAsia="仿宋" w:cs="仿宋"/>
          <w:color w:val="auto"/>
          <w:sz w:val="24"/>
          <w:highlight w:val="none"/>
        </w:rPr>
        <w:t>如供应商提供的服务或与服务相关的物品存在知识产权纠纷而导致本合同无法继续履行，在采购人发函要求解决相关知识产权问题后x日内仍未解决的，则采购人有权单方终止本合同的履行，并要求供应商承担相应赔偿责任。</w:t>
      </w:r>
      <w:r>
        <w:rPr>
          <w:rFonts w:hint="eastAsia" w:ascii="仿宋" w:hAnsi="仿宋" w:eastAsia="仿宋" w:cs="仿宋"/>
          <w:bCs/>
          <w:color w:val="auto"/>
          <w:sz w:val="24"/>
          <w:highlight w:val="none"/>
        </w:rPr>
        <w:t xml:space="preserve"> </w:t>
      </w:r>
    </w:p>
    <w:p w14:paraId="3F958CF4">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13.不可抗力事件处理</w:t>
      </w:r>
    </w:p>
    <w:p w14:paraId="5B8AFA85">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13.1 在合同有效期内，任何一方因不可抗力事件导致不能履行合同，则合同履行期可延长，其延长期与不可抗力影响期相同。</w:t>
      </w:r>
    </w:p>
    <w:p w14:paraId="42FB04CE">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13.2 不可抗力事件发生后，应立即通知对方，并寄送有关权威机构出具的证明。</w:t>
      </w:r>
    </w:p>
    <w:p w14:paraId="797ED785">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13.3 不可抗力事件延续120天以上，双方应通过友好协商，确定是否继续履行合同。</w:t>
      </w:r>
    </w:p>
    <w:p w14:paraId="294AE5DB">
      <w:pPr>
        <w:spacing w:line="360" w:lineRule="auto"/>
        <w:rPr>
          <w:rFonts w:hint="eastAsia" w:ascii="仿宋" w:hAnsi="仿宋" w:eastAsia="仿宋" w:cs="仿宋"/>
          <w:bCs/>
          <w:color w:val="auto"/>
          <w:sz w:val="24"/>
          <w:highlight w:val="none"/>
        </w:rPr>
      </w:pPr>
      <w:r>
        <w:rPr>
          <w:rFonts w:hint="eastAsia" w:ascii="仿宋" w:hAnsi="仿宋" w:eastAsia="仿宋" w:cs="仿宋"/>
          <w:b/>
          <w:bCs/>
          <w:color w:val="auto"/>
          <w:sz w:val="24"/>
          <w:highlight w:val="none"/>
        </w:rPr>
        <w:t>14.</w:t>
      </w:r>
      <w:r>
        <w:rPr>
          <w:rFonts w:hint="eastAsia" w:ascii="仿宋" w:hAnsi="仿宋" w:eastAsia="仿宋" w:cs="仿宋"/>
          <w:bCs/>
          <w:color w:val="auto"/>
          <w:sz w:val="24"/>
          <w:highlight w:val="none"/>
        </w:rPr>
        <w:t xml:space="preserve"> </w:t>
      </w:r>
      <w:r>
        <w:rPr>
          <w:rFonts w:hint="eastAsia" w:ascii="仿宋" w:hAnsi="仿宋" w:eastAsia="仿宋" w:cs="仿宋"/>
          <w:b/>
          <w:bCs/>
          <w:color w:val="auto"/>
          <w:sz w:val="24"/>
          <w:highlight w:val="none"/>
        </w:rPr>
        <w:t>争议解决</w:t>
      </w:r>
    </w:p>
    <w:p w14:paraId="4C04E5A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14.1在执行本合同中所发生的或与本合同有关的一切争端，合同双方应通过友好协商解决，经过协商仍不能解决，双方选择通过下列第x种方式解决：</w:t>
      </w:r>
    </w:p>
    <w:p w14:paraId="60BCD84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（1）将争端提交湖州仲裁委员会仲裁</w:t>
      </w:r>
    </w:p>
    <w:p w14:paraId="253A568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（2）直接向采购人所在地有管辖权的人民法院起诉。</w:t>
      </w:r>
    </w:p>
    <w:p w14:paraId="7A1D2FE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14.2仲裁费用或诉讼费用应由败诉方负担。</w:t>
      </w:r>
    </w:p>
    <w:p w14:paraId="2BB485C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14.3在仲裁或诉讼期间，除进行仲裁或诉讼的部分外，本合同其它部分应继续执行。</w:t>
      </w:r>
    </w:p>
    <w:p w14:paraId="3759AF9A">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15.转让或分包</w:t>
      </w:r>
    </w:p>
    <w:p w14:paraId="5F05312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15.1本合同范围的服务，应由供应商提供，不得转让他人供应；</w:t>
      </w:r>
    </w:p>
    <w:p w14:paraId="216DC43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15.2除非得到采购人的书面同意后，供应商可以将其中部分依法分包给他人供应和实施。采购人有绝对权力阻止分包。虽然采购人之前未有阻止分包，采购人仍有权在任何时候拒绝任何分包人，有权要求任何分包人脱离本货物的供应和服务，并不承担任何赔偿责任。</w:t>
      </w:r>
    </w:p>
    <w:p w14:paraId="23F1D71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15.3本合同全部或部分的分包不能减轻供应商承担的责任，供应商仍须将分包人的任何行动、错误或疏忽当作是自己完成的并负全责；</w:t>
      </w:r>
    </w:p>
    <w:p w14:paraId="61FF673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15.4在任何分包合同中，须注明分包人按分包合同的范围履行，在供应商按本合同的履行终止时（不论任何原因），亦同时一并终止；</w:t>
      </w:r>
    </w:p>
    <w:p w14:paraId="05EB88C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15.5如有转让和未经采购人同意的分包行为，采购人有权给予终止合同。</w:t>
      </w:r>
    </w:p>
    <w:p w14:paraId="3B865668">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16.适用法律</w:t>
      </w:r>
    </w:p>
    <w:p w14:paraId="2CA4C6C1">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合同适用法律有《中华人民共和国政府采购法》、《中华人民共和国</w:t>
      </w:r>
      <w:r>
        <w:rPr>
          <w:rFonts w:hint="eastAsia" w:ascii="仿宋" w:hAnsi="仿宋" w:eastAsia="仿宋" w:cs="仿宋"/>
          <w:color w:val="auto"/>
          <w:sz w:val="24"/>
          <w:highlight w:val="none"/>
          <w:lang w:val="en-US" w:eastAsia="zh-CN"/>
        </w:rPr>
        <w:t>民法典</w:t>
      </w:r>
      <w:r>
        <w:rPr>
          <w:rFonts w:hint="eastAsia" w:ascii="仿宋" w:hAnsi="仿宋" w:eastAsia="仿宋" w:cs="仿宋"/>
          <w:color w:val="auto"/>
          <w:sz w:val="24"/>
          <w:highlight w:val="none"/>
        </w:rPr>
        <w:t>》、《中华人民共和国产品质量法》和浙江省有关条例等。</w:t>
      </w:r>
    </w:p>
    <w:p w14:paraId="637B8942">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17.合同生效及其他</w:t>
      </w:r>
    </w:p>
    <w:p w14:paraId="74A69D0D">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17.1本合同经双方法人及法定代表人签字盖章生效；</w:t>
      </w:r>
    </w:p>
    <w:p w14:paraId="6A830537">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17.2本合同一式伍份，供应商、采购人各执贰份，采购代理机构执壹份。</w:t>
      </w:r>
    </w:p>
    <w:p w14:paraId="20E1D22E">
      <w:pPr>
        <w:spacing w:line="360" w:lineRule="auto"/>
        <w:ind w:firstLine="480" w:firstLineChars="200"/>
        <w:rPr>
          <w:rFonts w:hint="eastAsia" w:ascii="仿宋" w:hAnsi="仿宋" w:eastAsia="仿宋" w:cs="仿宋"/>
          <w:bCs/>
          <w:color w:val="auto"/>
          <w:sz w:val="24"/>
          <w:highlight w:val="none"/>
        </w:rPr>
      </w:pPr>
    </w:p>
    <w:p w14:paraId="09F18F05">
      <w:pPr>
        <w:spacing w:line="360" w:lineRule="auto"/>
        <w:ind w:firstLine="480" w:firstLineChars="200"/>
        <w:rPr>
          <w:rFonts w:hint="eastAsia" w:ascii="仿宋" w:hAnsi="仿宋" w:eastAsia="仿宋" w:cs="仿宋"/>
          <w:bCs/>
          <w:color w:val="auto"/>
          <w:sz w:val="24"/>
          <w:highlight w:val="none"/>
        </w:rPr>
      </w:pPr>
    </w:p>
    <w:p w14:paraId="57DE7532">
      <w:pPr>
        <w:spacing w:line="360" w:lineRule="auto"/>
        <w:ind w:firstLine="480" w:firstLineChars="200"/>
        <w:rPr>
          <w:rFonts w:hint="eastAsia" w:ascii="仿宋" w:hAnsi="仿宋" w:eastAsia="仿宋" w:cs="仿宋"/>
          <w:bCs/>
          <w:color w:val="auto"/>
          <w:sz w:val="24"/>
          <w:highlight w:val="none"/>
        </w:rPr>
      </w:pPr>
    </w:p>
    <w:p w14:paraId="581BE11D">
      <w:pPr>
        <w:spacing w:line="360" w:lineRule="auto"/>
        <w:ind w:firstLine="480" w:firstLineChars="200"/>
        <w:rPr>
          <w:rFonts w:hint="eastAsia" w:ascii="仿宋" w:hAnsi="仿宋" w:eastAsia="仿宋" w:cs="仿宋"/>
          <w:bCs/>
          <w:color w:val="auto"/>
          <w:sz w:val="24"/>
          <w:highlight w:val="none"/>
        </w:rPr>
      </w:pPr>
    </w:p>
    <w:p w14:paraId="6795E068">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采购人：                                   供应商： </w:t>
      </w:r>
    </w:p>
    <w:p w14:paraId="7A00A2EF">
      <w:pPr>
        <w:spacing w:line="360" w:lineRule="auto"/>
        <w:ind w:firstLine="480" w:firstLineChars="200"/>
        <w:rPr>
          <w:rFonts w:hint="eastAsia" w:ascii="仿宋" w:hAnsi="仿宋" w:eastAsia="仿宋" w:cs="仿宋"/>
          <w:bCs/>
          <w:color w:val="auto"/>
          <w:sz w:val="24"/>
          <w:highlight w:val="none"/>
        </w:rPr>
      </w:pPr>
    </w:p>
    <w:p w14:paraId="497AC492">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地址：                                     地址： </w:t>
      </w:r>
    </w:p>
    <w:p w14:paraId="642B2594">
      <w:pPr>
        <w:spacing w:line="360" w:lineRule="auto"/>
        <w:ind w:firstLine="480" w:firstLineChars="200"/>
        <w:rPr>
          <w:rFonts w:hint="eastAsia" w:ascii="仿宋" w:hAnsi="仿宋" w:eastAsia="仿宋" w:cs="仿宋"/>
          <w:bCs/>
          <w:color w:val="auto"/>
          <w:sz w:val="24"/>
          <w:highlight w:val="none"/>
        </w:rPr>
      </w:pPr>
    </w:p>
    <w:p w14:paraId="756C31FA">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法定（或授权）代表人：                     法定（或授权）代表人：</w:t>
      </w:r>
    </w:p>
    <w:p w14:paraId="05A7A2B8">
      <w:pPr>
        <w:spacing w:line="360" w:lineRule="auto"/>
        <w:ind w:firstLine="480" w:firstLineChars="200"/>
        <w:rPr>
          <w:rFonts w:hint="eastAsia" w:ascii="仿宋" w:hAnsi="仿宋" w:eastAsia="仿宋" w:cs="仿宋"/>
          <w:bCs/>
          <w:color w:val="auto"/>
          <w:sz w:val="24"/>
          <w:highlight w:val="none"/>
        </w:rPr>
      </w:pPr>
    </w:p>
    <w:p w14:paraId="0D5DAB8B">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签字日期：   年  月  日                    签字日期：   年  月  日</w:t>
      </w:r>
    </w:p>
    <w:p w14:paraId="4CECE57A">
      <w:pPr>
        <w:pStyle w:val="2"/>
        <w:jc w:val="center"/>
        <w:outlineLvl w:val="9"/>
        <w:rPr>
          <w:rFonts w:hint="eastAsia" w:ascii="仿宋" w:hAnsi="仿宋" w:eastAsia="仿宋" w:cs="仿宋"/>
          <w:color w:val="auto"/>
          <w:sz w:val="24"/>
          <w:szCs w:val="24"/>
          <w:highlight w:val="none"/>
        </w:rPr>
        <w:sectPr>
          <w:footerReference r:id="rId7" w:type="default"/>
          <w:pgSz w:w="11906" w:h="16838"/>
          <w:pgMar w:top="1440" w:right="1080" w:bottom="1440" w:left="1080" w:header="567" w:footer="567" w:gutter="0"/>
          <w:pgBorders>
            <w:top w:val="none" w:sz="0" w:space="0"/>
            <w:left w:val="none" w:sz="0" w:space="0"/>
            <w:bottom w:val="thickThinSmallGap" w:color="auto" w:sz="18" w:space="1"/>
            <w:right w:val="none" w:sz="0" w:space="0"/>
          </w:pgBorders>
          <w:pgNumType w:fmt="decimal"/>
          <w:cols w:space="720" w:num="1"/>
          <w:titlePg/>
          <w:docGrid w:type="lines" w:linePitch="312" w:charSpace="0"/>
        </w:sectPr>
      </w:pPr>
    </w:p>
    <w:p w14:paraId="3DEE0BDE">
      <w:pPr>
        <w:pStyle w:val="2"/>
        <w:ind w:firstLine="2209" w:firstLineChars="500"/>
        <w:rPr>
          <w:rStyle w:val="42"/>
          <w:rFonts w:hint="eastAsia" w:ascii="仿宋" w:hAnsi="仿宋" w:eastAsia="仿宋" w:cs="仿宋"/>
          <w:b/>
          <w:bCs/>
          <w:color w:val="auto"/>
          <w:highlight w:val="none"/>
        </w:rPr>
      </w:pPr>
      <w:bookmarkStart w:id="255" w:name="_Toc15409"/>
      <w:r>
        <w:rPr>
          <w:rStyle w:val="42"/>
          <w:rFonts w:hint="eastAsia" w:ascii="仿宋" w:hAnsi="仿宋" w:eastAsia="仿宋" w:cs="仿宋"/>
          <w:b/>
          <w:bCs/>
          <w:color w:val="auto"/>
          <w:highlight w:val="none"/>
        </w:rPr>
        <w:t>第六章  响应文件格式</w:t>
      </w:r>
      <w:bookmarkEnd w:id="253"/>
      <w:bookmarkEnd w:id="254"/>
      <w:bookmarkEnd w:id="255"/>
    </w:p>
    <w:p w14:paraId="61D6C646">
      <w:pPr>
        <w:widowControl/>
        <w:autoSpaceDE w:val="0"/>
        <w:autoSpaceDN w:val="0"/>
        <w:snapToGrid w:val="0"/>
        <w:spacing w:line="440" w:lineRule="exact"/>
        <w:ind w:firstLine="480" w:firstLineChars="200"/>
        <w:jc w:val="left"/>
        <w:textAlignment w:val="bottom"/>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本章节内容提供部分响应文件格式，磋商文件中要求，但未提供格式的，须由供应商自行制作。</w:t>
      </w:r>
    </w:p>
    <w:p w14:paraId="0AA3A67C">
      <w:pPr>
        <w:ind w:firstLine="570"/>
        <w:rPr>
          <w:rFonts w:hint="eastAsia" w:ascii="仿宋" w:hAnsi="仿宋" w:eastAsia="仿宋" w:cs="仿宋"/>
          <w:color w:val="auto"/>
          <w:sz w:val="28"/>
          <w:szCs w:val="28"/>
          <w:highlight w:val="none"/>
        </w:rPr>
      </w:pPr>
    </w:p>
    <w:p w14:paraId="634BE500">
      <w:pPr>
        <w:ind w:firstLine="57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1、响应文件的封面格式：</w:t>
      </w:r>
    </w:p>
    <w:p w14:paraId="0FF81DE3">
      <w:pPr>
        <w:ind w:firstLine="570"/>
        <w:jc w:val="right"/>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t>正本（或副本）</w:t>
      </w:r>
    </w:p>
    <w:p w14:paraId="28554EBD">
      <w:pPr>
        <w:ind w:firstLine="570"/>
        <w:jc w:val="center"/>
        <w:rPr>
          <w:rFonts w:hint="eastAsia" w:ascii="仿宋" w:hAnsi="仿宋" w:eastAsia="仿宋" w:cs="仿宋"/>
          <w:b/>
          <w:color w:val="auto"/>
          <w:sz w:val="84"/>
          <w:szCs w:val="84"/>
          <w:highlight w:val="none"/>
        </w:rPr>
      </w:pPr>
    </w:p>
    <w:p w14:paraId="0E9CEB6B">
      <w:pPr>
        <w:ind w:firstLine="570"/>
        <w:jc w:val="center"/>
        <w:rPr>
          <w:rFonts w:hint="eastAsia" w:ascii="仿宋" w:hAnsi="仿宋" w:eastAsia="仿宋" w:cs="仿宋"/>
          <w:b/>
          <w:color w:val="auto"/>
          <w:sz w:val="84"/>
          <w:szCs w:val="84"/>
          <w:highlight w:val="none"/>
        </w:rPr>
      </w:pPr>
      <w:r>
        <w:rPr>
          <w:rFonts w:hint="eastAsia" w:ascii="仿宋" w:hAnsi="仿宋" w:eastAsia="仿宋" w:cs="仿宋"/>
          <w:b/>
          <w:color w:val="auto"/>
          <w:sz w:val="84"/>
          <w:szCs w:val="84"/>
          <w:highlight w:val="none"/>
        </w:rPr>
        <w:t>响应文件</w:t>
      </w:r>
    </w:p>
    <w:p w14:paraId="3CCE130D">
      <w:pPr>
        <w:ind w:firstLine="570"/>
        <w:jc w:val="center"/>
        <w:rPr>
          <w:rFonts w:hint="eastAsia" w:ascii="仿宋" w:hAnsi="仿宋" w:eastAsia="仿宋" w:cs="仿宋"/>
          <w:b/>
          <w:color w:val="auto"/>
          <w:sz w:val="84"/>
          <w:szCs w:val="84"/>
          <w:highlight w:val="none"/>
        </w:rPr>
      </w:pPr>
      <w:r>
        <w:rPr>
          <w:rFonts w:hint="eastAsia" w:ascii="仿宋" w:hAnsi="仿宋" w:eastAsia="仿宋" w:cs="仿宋"/>
          <w:b/>
          <w:color w:val="auto"/>
          <w:sz w:val="30"/>
          <w:szCs w:val="30"/>
          <w:highlight w:val="none"/>
        </w:rPr>
        <w:t>（资格证明文件/商务、技术文件</w:t>
      </w:r>
      <w:r>
        <w:rPr>
          <w:rFonts w:hint="eastAsia" w:ascii="仿宋" w:hAnsi="仿宋" w:eastAsia="仿宋" w:cs="仿宋"/>
          <w:b/>
          <w:color w:val="auto"/>
          <w:sz w:val="30"/>
          <w:szCs w:val="30"/>
          <w:highlight w:val="none"/>
          <w:lang w:val="en-US" w:eastAsia="zh-CN"/>
        </w:rPr>
        <w:t>/报价文件</w:t>
      </w:r>
      <w:r>
        <w:rPr>
          <w:rFonts w:hint="eastAsia" w:ascii="仿宋" w:hAnsi="仿宋" w:eastAsia="仿宋" w:cs="仿宋"/>
          <w:b/>
          <w:color w:val="auto"/>
          <w:sz w:val="30"/>
          <w:szCs w:val="30"/>
          <w:highlight w:val="none"/>
        </w:rPr>
        <w:t>）</w:t>
      </w:r>
    </w:p>
    <w:p w14:paraId="33FF4CC9">
      <w:pPr>
        <w:ind w:firstLine="570"/>
        <w:jc w:val="center"/>
        <w:rPr>
          <w:rFonts w:hint="eastAsia" w:ascii="仿宋" w:hAnsi="仿宋" w:eastAsia="仿宋" w:cs="仿宋"/>
          <w:b/>
          <w:color w:val="auto"/>
          <w:sz w:val="84"/>
          <w:szCs w:val="84"/>
          <w:highlight w:val="none"/>
        </w:rPr>
      </w:pPr>
    </w:p>
    <w:p w14:paraId="4BA92431">
      <w:pPr>
        <w:ind w:firstLine="570"/>
        <w:jc w:val="center"/>
        <w:rPr>
          <w:rFonts w:hint="eastAsia" w:ascii="仿宋" w:hAnsi="仿宋" w:eastAsia="仿宋" w:cs="仿宋"/>
          <w:b/>
          <w:color w:val="auto"/>
          <w:sz w:val="84"/>
          <w:szCs w:val="84"/>
          <w:highlight w:val="none"/>
        </w:rPr>
      </w:pPr>
    </w:p>
    <w:p w14:paraId="609B5411">
      <w:pPr>
        <w:spacing w:line="800" w:lineRule="exact"/>
        <w:ind w:firstLine="57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p w14:paraId="2B471765">
      <w:pPr>
        <w:spacing w:line="800" w:lineRule="exact"/>
        <w:ind w:firstLine="57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w:t>
      </w:r>
    </w:p>
    <w:p w14:paraId="51ED73DC">
      <w:pPr>
        <w:spacing w:line="800" w:lineRule="exact"/>
        <w:ind w:firstLine="57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供应商名称（盖章）：</w:t>
      </w:r>
    </w:p>
    <w:p w14:paraId="23F65270">
      <w:pPr>
        <w:spacing w:line="800" w:lineRule="exact"/>
        <w:ind w:firstLine="57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供应商地址：</w:t>
      </w:r>
    </w:p>
    <w:p w14:paraId="42B60DAB">
      <w:pPr>
        <w:spacing w:line="800" w:lineRule="exact"/>
        <w:ind w:firstLine="570"/>
        <w:jc w:val="right"/>
        <w:rPr>
          <w:rFonts w:hint="eastAsia" w:ascii="仿宋" w:hAnsi="仿宋" w:eastAsia="仿宋" w:cs="仿宋"/>
          <w:b/>
          <w:color w:val="auto"/>
          <w:sz w:val="32"/>
          <w:szCs w:val="32"/>
          <w:highlight w:val="none"/>
        </w:rPr>
      </w:pPr>
      <w:r>
        <w:rPr>
          <w:rFonts w:hint="eastAsia" w:ascii="仿宋" w:hAnsi="仿宋" w:eastAsia="仿宋" w:cs="仿宋"/>
          <w:b/>
          <w:color w:val="auto"/>
          <w:sz w:val="24"/>
          <w:highlight w:val="none"/>
        </w:rPr>
        <w:t xml:space="preserve">  年   月   日</w:t>
      </w:r>
    </w:p>
    <w:p w14:paraId="1D8B34E4">
      <w:pPr>
        <w:ind w:firstLine="570"/>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目  录</w:t>
      </w:r>
    </w:p>
    <w:p w14:paraId="23D683FA">
      <w:pPr>
        <w:autoSpaceDE w:val="0"/>
        <w:autoSpaceDN w:val="0"/>
        <w:adjustRightInd w:val="0"/>
        <w:snapToGrid w:val="0"/>
        <w:spacing w:line="400" w:lineRule="exact"/>
        <w:ind w:firstLine="487" w:firstLineChars="202"/>
        <w:textAlignment w:val="bottom"/>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1、资格证明文件</w:t>
      </w:r>
    </w:p>
    <w:p w14:paraId="5FD15321">
      <w:pPr>
        <w:numPr>
          <w:ilvl w:val="255"/>
          <w:numId w:val="0"/>
        </w:numPr>
        <w:tabs>
          <w:tab w:val="left" w:pos="420"/>
        </w:tabs>
        <w:spacing w:line="360" w:lineRule="auto"/>
        <w:ind w:left="41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1）磋商声明书；</w:t>
      </w:r>
    </w:p>
    <w:p w14:paraId="208BAEE6">
      <w:pPr>
        <w:numPr>
          <w:ilvl w:val="255"/>
          <w:numId w:val="0"/>
        </w:numPr>
        <w:tabs>
          <w:tab w:val="left" w:pos="420"/>
        </w:tabs>
        <w:spacing w:line="360" w:lineRule="auto"/>
        <w:ind w:left="415"/>
        <w:rPr>
          <w:rFonts w:hint="eastAsia" w:ascii="仿宋" w:hAnsi="仿宋" w:eastAsia="仿宋" w:cs="仿宋"/>
          <w:color w:val="auto"/>
          <w:highlight w:val="none"/>
          <w:lang w:val="en-US" w:eastAsia="zh-CN"/>
        </w:rPr>
      </w:pPr>
      <w:r>
        <w:rPr>
          <w:rFonts w:hint="eastAsia" w:ascii="仿宋" w:hAnsi="仿宋" w:eastAsia="仿宋" w:cs="仿宋"/>
          <w:color w:val="auto"/>
          <w:kern w:val="0"/>
          <w:sz w:val="24"/>
          <w:highlight w:val="none"/>
        </w:rPr>
        <w:t>2）有效的企业营业执照、税务登记证（已办理“三证合一”或“五证合一”的企业无须提供税务登记证）；</w:t>
      </w:r>
    </w:p>
    <w:p w14:paraId="710F920B">
      <w:pPr>
        <w:numPr>
          <w:ilvl w:val="255"/>
          <w:numId w:val="0"/>
        </w:numPr>
        <w:tabs>
          <w:tab w:val="left" w:pos="420"/>
        </w:tabs>
        <w:spacing w:line="360" w:lineRule="auto"/>
        <w:ind w:left="41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3）保安服务许可证</w:t>
      </w:r>
      <w:r>
        <w:rPr>
          <w:rFonts w:hint="eastAsia" w:ascii="仿宋" w:hAnsi="仿宋" w:eastAsia="仿宋" w:cs="仿宋"/>
          <w:color w:val="auto"/>
          <w:kern w:val="0"/>
          <w:sz w:val="24"/>
          <w:highlight w:val="none"/>
          <w:lang w:eastAsia="zh-CN"/>
        </w:rPr>
        <w:t>；</w:t>
      </w:r>
    </w:p>
    <w:p w14:paraId="670EA7D6">
      <w:pPr>
        <w:numPr>
          <w:ilvl w:val="255"/>
          <w:numId w:val="0"/>
        </w:numPr>
        <w:tabs>
          <w:tab w:val="left" w:pos="420"/>
        </w:tabs>
        <w:spacing w:line="360" w:lineRule="auto"/>
        <w:ind w:left="41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4）法定代表人身份证明书；</w:t>
      </w:r>
    </w:p>
    <w:p w14:paraId="519F91ED">
      <w:pPr>
        <w:numPr>
          <w:ilvl w:val="255"/>
          <w:numId w:val="0"/>
        </w:numPr>
        <w:tabs>
          <w:tab w:val="left" w:pos="420"/>
        </w:tabs>
        <w:spacing w:line="360" w:lineRule="auto"/>
        <w:ind w:left="41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5）法定代表人授权委托书及授权代理人有效身份证明；</w:t>
      </w:r>
    </w:p>
    <w:p w14:paraId="77769F94">
      <w:pPr>
        <w:numPr>
          <w:ilvl w:val="255"/>
          <w:numId w:val="0"/>
        </w:numPr>
        <w:tabs>
          <w:tab w:val="left" w:pos="420"/>
        </w:tabs>
        <w:spacing w:line="360" w:lineRule="auto"/>
        <w:ind w:left="41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6）授权代理人最近三个月中任意一个月社保缴纳证明文件；</w:t>
      </w:r>
    </w:p>
    <w:p w14:paraId="7017BAA5">
      <w:pPr>
        <w:numPr>
          <w:ilvl w:val="255"/>
          <w:numId w:val="0"/>
        </w:numPr>
        <w:tabs>
          <w:tab w:val="left" w:pos="420"/>
        </w:tabs>
        <w:spacing w:line="360" w:lineRule="auto"/>
        <w:ind w:left="41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7）符合参加政府采购活动应当具备的一般条件的承诺函；</w:t>
      </w:r>
    </w:p>
    <w:p w14:paraId="638F9125">
      <w:pPr>
        <w:numPr>
          <w:ilvl w:val="255"/>
          <w:numId w:val="0"/>
        </w:numPr>
        <w:tabs>
          <w:tab w:val="left" w:pos="420"/>
        </w:tabs>
        <w:spacing w:line="360" w:lineRule="auto"/>
        <w:ind w:left="41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8）信用承诺书； </w:t>
      </w:r>
    </w:p>
    <w:p w14:paraId="0C862D50">
      <w:pPr>
        <w:numPr>
          <w:ilvl w:val="255"/>
          <w:numId w:val="0"/>
        </w:numPr>
        <w:tabs>
          <w:tab w:val="left" w:pos="420"/>
        </w:tabs>
        <w:spacing w:line="360" w:lineRule="auto"/>
        <w:ind w:left="41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9）中小企业声明函或残疾人福利性单位声明函或监狱企业声明函； </w:t>
      </w:r>
    </w:p>
    <w:p w14:paraId="5B136FD1">
      <w:pPr>
        <w:numPr>
          <w:ilvl w:val="255"/>
          <w:numId w:val="0"/>
        </w:numPr>
        <w:tabs>
          <w:tab w:val="left" w:pos="420"/>
        </w:tabs>
        <w:spacing w:line="360" w:lineRule="auto"/>
        <w:ind w:left="41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10)</w:t>
      </w:r>
      <w:r>
        <w:rPr>
          <w:rFonts w:hint="eastAsia" w:ascii="仿宋" w:hAnsi="仿宋" w:eastAsia="仿宋" w:cs="仿宋"/>
          <w:color w:val="auto"/>
          <w:kern w:val="0"/>
          <w:sz w:val="24"/>
          <w:highlight w:val="none"/>
        </w:rPr>
        <w:t xml:space="preserve"> 供应商认为需要提供的其他资料和文件。</w:t>
      </w:r>
    </w:p>
    <w:p w14:paraId="0702343B">
      <w:pPr>
        <w:tabs>
          <w:tab w:val="left" w:pos="844"/>
        </w:tabs>
        <w:autoSpaceDE w:val="0"/>
        <w:autoSpaceDN w:val="0"/>
        <w:snapToGrid w:val="0"/>
        <w:spacing w:line="400" w:lineRule="exact"/>
        <w:ind w:left="426"/>
        <w:textAlignment w:val="bottom"/>
        <w:rPr>
          <w:rFonts w:hint="eastAsia" w:ascii="仿宋" w:hAnsi="仿宋" w:eastAsia="仿宋" w:cs="仿宋"/>
          <w:bCs/>
          <w:color w:val="auto"/>
          <w:sz w:val="24"/>
          <w:highlight w:val="none"/>
        </w:rPr>
      </w:pPr>
    </w:p>
    <w:p w14:paraId="4E2F5D6D">
      <w:pPr>
        <w:spacing w:line="280" w:lineRule="exact"/>
        <w:ind w:firstLine="470" w:firstLineChars="196"/>
        <w:rPr>
          <w:rFonts w:hint="eastAsia" w:ascii="仿宋" w:hAnsi="仿宋" w:eastAsia="仿宋" w:cs="仿宋"/>
          <w:color w:val="auto"/>
          <w:sz w:val="24"/>
          <w:highlight w:val="none"/>
        </w:rPr>
      </w:pPr>
    </w:p>
    <w:p w14:paraId="318D06F6">
      <w:pPr>
        <w:spacing w:line="280" w:lineRule="exact"/>
        <w:ind w:firstLine="470" w:firstLineChars="196"/>
        <w:rPr>
          <w:rFonts w:hint="eastAsia" w:ascii="仿宋" w:hAnsi="仿宋" w:eastAsia="仿宋" w:cs="仿宋"/>
          <w:color w:val="auto"/>
          <w:sz w:val="24"/>
          <w:highlight w:val="none"/>
        </w:rPr>
      </w:pPr>
    </w:p>
    <w:p w14:paraId="319F4D6B">
      <w:pPr>
        <w:spacing w:line="280" w:lineRule="exact"/>
        <w:ind w:firstLine="470" w:firstLineChars="196"/>
        <w:rPr>
          <w:rFonts w:hint="eastAsia" w:ascii="仿宋" w:hAnsi="仿宋" w:eastAsia="仿宋" w:cs="仿宋"/>
          <w:color w:val="auto"/>
          <w:sz w:val="24"/>
          <w:highlight w:val="none"/>
        </w:rPr>
      </w:pPr>
    </w:p>
    <w:p w14:paraId="3818674F">
      <w:pPr>
        <w:spacing w:line="280" w:lineRule="exact"/>
        <w:ind w:firstLine="472" w:firstLineChars="196"/>
        <w:rPr>
          <w:rFonts w:hint="eastAsia" w:ascii="仿宋" w:hAnsi="仿宋" w:eastAsia="仿宋" w:cs="仿宋"/>
          <w:color w:val="auto"/>
          <w:sz w:val="24"/>
          <w:highlight w:val="none"/>
        </w:rPr>
      </w:pPr>
      <w:r>
        <w:rPr>
          <w:rFonts w:hint="eastAsia" w:ascii="仿宋" w:hAnsi="仿宋" w:eastAsia="仿宋" w:cs="仿宋"/>
          <w:b/>
          <w:color w:val="auto"/>
          <w:sz w:val="24"/>
          <w:highlight w:val="none"/>
        </w:rPr>
        <w:t>以上响应文件组成内容中的扫描件均须加盖供应商公章（</w:t>
      </w:r>
      <w:r>
        <w:rPr>
          <w:rFonts w:hint="eastAsia" w:ascii="仿宋" w:hAnsi="仿宋" w:eastAsia="仿宋" w:cs="仿宋"/>
          <w:b/>
          <w:color w:val="auto"/>
          <w:spacing w:val="-32"/>
          <w:sz w:val="24"/>
          <w:highlight w:val="none"/>
        </w:rPr>
        <w:t xml:space="preserve">或 </w:t>
      </w:r>
      <w:r>
        <w:rPr>
          <w:rFonts w:hint="eastAsia" w:ascii="仿宋" w:hAnsi="仿宋" w:eastAsia="仿宋" w:cs="仿宋"/>
          <w:b/>
          <w:color w:val="auto"/>
          <w:sz w:val="24"/>
          <w:highlight w:val="none"/>
        </w:rPr>
        <w:t>CA</w:t>
      </w:r>
      <w:r>
        <w:rPr>
          <w:rFonts w:hint="eastAsia" w:ascii="仿宋" w:hAnsi="仿宋" w:eastAsia="仿宋" w:cs="仿宋"/>
          <w:b/>
          <w:color w:val="auto"/>
          <w:spacing w:val="-14"/>
          <w:sz w:val="24"/>
          <w:highlight w:val="none"/>
        </w:rPr>
        <w:t xml:space="preserve"> 电子签章</w:t>
      </w:r>
      <w:r>
        <w:rPr>
          <w:rFonts w:hint="eastAsia" w:ascii="仿宋" w:hAnsi="仿宋" w:eastAsia="仿宋" w:cs="仿宋"/>
          <w:b/>
          <w:color w:val="auto"/>
          <w:sz w:val="24"/>
          <w:highlight w:val="none"/>
        </w:rPr>
        <w:t>）</w:t>
      </w:r>
    </w:p>
    <w:p w14:paraId="127DF336">
      <w:pPr>
        <w:spacing w:line="280" w:lineRule="exact"/>
        <w:ind w:firstLine="470" w:firstLineChars="196"/>
        <w:rPr>
          <w:rFonts w:hint="eastAsia" w:ascii="仿宋" w:hAnsi="仿宋" w:eastAsia="仿宋" w:cs="仿宋"/>
          <w:color w:val="auto"/>
          <w:sz w:val="24"/>
          <w:highlight w:val="none"/>
        </w:rPr>
      </w:pPr>
    </w:p>
    <w:p w14:paraId="50CEEAC9">
      <w:pPr>
        <w:spacing w:line="280" w:lineRule="exact"/>
        <w:rPr>
          <w:rFonts w:hint="eastAsia" w:ascii="仿宋" w:hAnsi="仿宋" w:eastAsia="仿宋" w:cs="仿宋"/>
          <w:color w:val="auto"/>
          <w:sz w:val="24"/>
          <w:highlight w:val="none"/>
        </w:rPr>
      </w:pPr>
    </w:p>
    <w:p w14:paraId="53857F3F">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43B52DE9">
      <w:pPr>
        <w:spacing w:line="400" w:lineRule="exact"/>
        <w:jc w:val="left"/>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1、磋商声明书</w:t>
      </w:r>
    </w:p>
    <w:p w14:paraId="2DB4FC8E">
      <w:pPr>
        <w:spacing w:line="360" w:lineRule="auto"/>
        <w:jc w:val="center"/>
        <w:rPr>
          <w:rFonts w:hint="eastAsia" w:ascii="仿宋" w:hAnsi="仿宋" w:eastAsia="仿宋" w:cs="仿宋"/>
          <w:b/>
          <w:color w:val="auto"/>
          <w:sz w:val="32"/>
          <w:szCs w:val="32"/>
          <w:highlight w:val="none"/>
        </w:rPr>
      </w:pPr>
      <w:bookmarkStart w:id="256" w:name="_Toc414960388"/>
      <w:r>
        <w:rPr>
          <w:rFonts w:hint="eastAsia" w:ascii="仿宋" w:hAnsi="仿宋" w:eastAsia="仿宋" w:cs="仿宋"/>
          <w:b/>
          <w:color w:val="auto"/>
          <w:sz w:val="32"/>
          <w:szCs w:val="32"/>
          <w:highlight w:val="none"/>
        </w:rPr>
        <w:t>磋 商 声 明 书</w:t>
      </w:r>
      <w:bookmarkEnd w:id="256"/>
    </w:p>
    <w:p w14:paraId="6090049D">
      <w:pPr>
        <w:pStyle w:val="15"/>
        <w:spacing w:line="460" w:lineRule="atLeast"/>
        <w:jc w:val="center"/>
        <w:rPr>
          <w:rFonts w:hint="eastAsia" w:ascii="仿宋" w:hAnsi="仿宋" w:eastAsia="仿宋" w:cs="仿宋"/>
          <w:color w:val="auto"/>
          <w:highlight w:val="none"/>
        </w:rPr>
      </w:pPr>
    </w:p>
    <w:p w14:paraId="4BC4D049">
      <w:pPr>
        <w:adjustRightInd w:val="0"/>
        <w:snapToGrid w:val="0"/>
        <w:spacing w:line="360" w:lineRule="auto"/>
        <w:rPr>
          <w:rFonts w:hint="default" w:ascii="仿宋" w:hAnsi="仿宋" w:eastAsia="仿宋" w:cs="仿宋"/>
          <w:color w:val="auto"/>
          <w:sz w:val="24"/>
          <w:highlight w:val="none"/>
          <w:u w:val="singl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val="en-US" w:eastAsia="zh-CN"/>
        </w:rPr>
        <w:t xml:space="preserve">                  （采购单位）</w:t>
      </w:r>
    </w:p>
    <w:p w14:paraId="6DC011E0">
      <w:pPr>
        <w:tabs>
          <w:tab w:val="left" w:pos="1418"/>
        </w:tabs>
        <w:snapToGrid w:val="0"/>
        <w:spacing w:before="50" w:after="5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系中华人民共和国合法企业，经营地址</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14:paraId="1D28457C">
      <w:pPr>
        <w:tabs>
          <w:tab w:val="left" w:pos="1418"/>
        </w:tabs>
        <w:snapToGrid w:val="0"/>
        <w:spacing w:before="50" w:after="5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的法定代表人，我方愿意参加贵方组织的</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项目的磋商，为便于贵方公正、择优地确定成交供应商及其磋商项目的服务，我方就本次磋商有关事项郑重声明如下：</w:t>
      </w:r>
    </w:p>
    <w:p w14:paraId="6B88202D">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1、我方向贵方提交的所有响应文件、资料都是准确的和真实的；</w:t>
      </w:r>
    </w:p>
    <w:p w14:paraId="7B792646">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2、我方不是采购人的附属机构；在获知本项目采购信息后，与采购人聘请的为此项目提供咨询服务的公司及其附属机构没有任何联系。</w:t>
      </w:r>
    </w:p>
    <w:p w14:paraId="17D54E8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3、我方此次向贵方提供的服务是</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14:paraId="35E9D430">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4、我方最近三年内的被公开披露或查处的违法违规行为有：</w:t>
      </w:r>
      <w:r>
        <w:rPr>
          <w:rFonts w:hint="eastAsia" w:ascii="仿宋" w:hAnsi="仿宋" w:eastAsia="仿宋" w:cs="仿宋"/>
          <w:color w:val="auto"/>
          <w:sz w:val="24"/>
          <w:highlight w:val="none"/>
          <w:u w:val="single"/>
        </w:rPr>
        <w:t xml:space="preserve">　                </w:t>
      </w:r>
    </w:p>
    <w:p w14:paraId="6D01F8B5">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5、我方承诺：最近三年我方无行贿犯罪行为，若我方成交，愿意接受社会监督和检察院调查，若与我方承诺不符，可免除我方成交人资格。                                                  </w:t>
      </w:r>
    </w:p>
    <w:p w14:paraId="463A4E3F">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6、以上事项如有虚假或隐瞒，我方愿意承担一切后果和责任。</w:t>
      </w:r>
    </w:p>
    <w:p w14:paraId="157A9A4E">
      <w:pPr>
        <w:adjustRightInd w:val="0"/>
        <w:snapToGrid w:val="0"/>
        <w:spacing w:line="360" w:lineRule="auto"/>
        <w:ind w:firstLine="480" w:firstLineChars="200"/>
        <w:rPr>
          <w:rFonts w:hint="eastAsia" w:ascii="仿宋" w:hAnsi="仿宋" w:eastAsia="仿宋" w:cs="仿宋"/>
          <w:color w:val="auto"/>
          <w:sz w:val="24"/>
          <w:highlight w:val="none"/>
          <w:u w:val="single"/>
        </w:rPr>
      </w:pPr>
    </w:p>
    <w:p w14:paraId="02586A1E">
      <w:pPr>
        <w:adjustRightInd w:val="0"/>
        <w:snapToGrid w:val="0"/>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法定代表人签字：</w:t>
      </w:r>
    </w:p>
    <w:p w14:paraId="59B4926E">
      <w:pPr>
        <w:adjustRightInd w:val="0"/>
        <w:snapToGrid w:val="0"/>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供应商盖章：</w:t>
      </w:r>
    </w:p>
    <w:p w14:paraId="543A245F">
      <w:pPr>
        <w:adjustRightInd w:val="0"/>
        <w:snapToGrid w:val="0"/>
        <w:spacing w:line="360" w:lineRule="auto"/>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p w14:paraId="2AD9B656">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68359B5E">
      <w:pPr>
        <w:spacing w:line="400" w:lineRule="exact"/>
        <w:jc w:val="left"/>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2、法定代表人身份证明书</w:t>
      </w:r>
    </w:p>
    <w:p w14:paraId="7FE0F241">
      <w:pPr>
        <w:spacing w:before="156" w:beforeLines="50" w:after="156" w:afterLines="50" w:line="400" w:lineRule="exact"/>
        <w:jc w:val="center"/>
        <w:rPr>
          <w:rFonts w:hint="eastAsia" w:ascii="仿宋" w:hAnsi="仿宋" w:eastAsia="仿宋" w:cs="仿宋"/>
          <w:bCs/>
          <w:color w:val="auto"/>
          <w:sz w:val="30"/>
          <w:highlight w:val="none"/>
        </w:rPr>
      </w:pPr>
    </w:p>
    <w:p w14:paraId="3FFCD45B">
      <w:pPr>
        <w:spacing w:before="156" w:beforeLines="50" w:after="156" w:afterLines="50" w:line="40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法定代表人身份证明书</w:t>
      </w:r>
    </w:p>
    <w:p w14:paraId="0E3760ED">
      <w:pPr>
        <w:spacing w:line="360" w:lineRule="auto"/>
        <w:rPr>
          <w:rFonts w:hint="eastAsia" w:ascii="仿宋" w:hAnsi="仿宋" w:eastAsia="仿宋" w:cs="仿宋"/>
          <w:color w:val="auto"/>
          <w:sz w:val="24"/>
          <w:highlight w:val="none"/>
        </w:rPr>
      </w:pPr>
    </w:p>
    <w:p w14:paraId="28CB98FA">
      <w:pPr>
        <w:spacing w:line="360" w:lineRule="auto"/>
        <w:rPr>
          <w:rFonts w:hint="default" w:ascii="仿宋" w:hAnsi="仿宋" w:eastAsia="仿宋" w:cs="仿宋"/>
          <w:color w:val="auto"/>
          <w:sz w:val="24"/>
          <w:highlight w:val="none"/>
          <w:u w:val="singl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u w:val="single"/>
          <w:lang w:val="en-US" w:eastAsia="zh-CN"/>
        </w:rPr>
        <w:t xml:space="preserve">                   （采购单位）</w:t>
      </w:r>
    </w:p>
    <w:p w14:paraId="60AB59E7">
      <w:pPr>
        <w:spacing w:before="156" w:beforeLines="50" w:after="156" w:afterLines="50" w:line="400" w:lineRule="exac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 xml:space="preserve">  （法定代表人姓名）   </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（供应商名称）  </w:t>
      </w:r>
      <w:r>
        <w:rPr>
          <w:rFonts w:hint="eastAsia" w:ascii="仿宋" w:hAnsi="仿宋" w:eastAsia="仿宋" w:cs="仿宋"/>
          <w:color w:val="auto"/>
          <w:sz w:val="24"/>
          <w:highlight w:val="none"/>
        </w:rPr>
        <w:t>的法定代表人，性别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职务</w:t>
      </w:r>
    </w:p>
    <w:p w14:paraId="25B8B101">
      <w:pPr>
        <w:spacing w:before="156" w:beforeLines="50" w:after="156" w:afterLines="50"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 xml:space="preserve"> 传真</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,联系地址</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06F5ADCC">
      <w:pPr>
        <w:spacing w:before="156" w:beforeLines="50" w:after="156" w:afterLines="50" w:line="400" w:lineRule="exact"/>
        <w:rPr>
          <w:rFonts w:hint="eastAsia" w:ascii="仿宋" w:hAnsi="仿宋" w:eastAsia="仿宋" w:cs="仿宋"/>
          <w:color w:val="auto"/>
          <w:sz w:val="24"/>
          <w:highlight w:val="none"/>
        </w:rPr>
      </w:pPr>
    </w:p>
    <w:p w14:paraId="40838642">
      <w:pPr>
        <w:spacing w:before="156" w:beforeLines="50" w:after="156" w:afterLines="50"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特此证明</w:t>
      </w:r>
    </w:p>
    <w:p w14:paraId="0E524ECA">
      <w:pPr>
        <w:spacing w:before="156" w:beforeLines="50" w:after="156" w:afterLines="50" w:line="400" w:lineRule="exact"/>
        <w:jc w:val="right"/>
        <w:rPr>
          <w:rFonts w:hint="eastAsia" w:ascii="仿宋" w:hAnsi="仿宋" w:eastAsia="仿宋" w:cs="仿宋"/>
          <w:color w:val="auto"/>
          <w:sz w:val="24"/>
          <w:highlight w:val="none"/>
        </w:rPr>
      </w:pPr>
    </w:p>
    <w:p w14:paraId="24D8F8F7">
      <w:pPr>
        <w:spacing w:before="156" w:beforeLines="50" w:after="156" w:afterLines="50" w:line="400" w:lineRule="exact"/>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349C50DC">
      <w:pPr>
        <w:wordWrap w:val="0"/>
        <w:spacing w:before="156" w:beforeLines="50" w:after="156" w:afterLines="50" w:line="400" w:lineRule="exact"/>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6153B754">
      <w:pPr>
        <w:spacing w:before="156" w:beforeLines="50" w:after="156" w:afterLines="50"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p w14:paraId="33191170">
      <w:pPr>
        <w:spacing w:before="156" w:beforeLines="50" w:after="156" w:afterLines="50"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附法定代表人身份证扫描件</w:t>
      </w:r>
    </w:p>
    <w:p w14:paraId="7146FE9C">
      <w:pPr>
        <w:spacing w:before="156" w:beforeLines="50" w:after="156" w:afterLines="50" w:line="400" w:lineRule="exact"/>
        <w:rPr>
          <w:rFonts w:hint="eastAsia" w:ascii="仿宋" w:hAnsi="仿宋" w:eastAsia="仿宋" w:cs="仿宋"/>
          <w:color w:val="auto"/>
          <w:sz w:val="24"/>
          <w:highlight w:val="none"/>
        </w:rPr>
      </w:pPr>
    </w:p>
    <w:p w14:paraId="4FBB9260">
      <w:pPr>
        <w:spacing w:before="156" w:beforeLines="50" w:after="156" w:afterLines="50" w:line="400" w:lineRule="exact"/>
        <w:rPr>
          <w:rFonts w:hint="eastAsia" w:ascii="仿宋" w:hAnsi="仿宋" w:eastAsia="仿宋" w:cs="仿宋"/>
          <w:color w:val="auto"/>
          <w:szCs w:val="21"/>
          <w:highlight w:val="none"/>
        </w:rPr>
      </w:pPr>
    </w:p>
    <w:p w14:paraId="647C4F35">
      <w:pPr>
        <w:spacing w:before="156" w:beforeLines="50" w:after="156" w:afterLines="50" w:line="400" w:lineRule="exact"/>
        <w:rPr>
          <w:rFonts w:hint="eastAsia" w:ascii="仿宋" w:hAnsi="仿宋" w:eastAsia="仿宋" w:cs="仿宋"/>
          <w:color w:val="auto"/>
          <w:szCs w:val="21"/>
          <w:highlight w:val="none"/>
        </w:rPr>
      </w:pPr>
    </w:p>
    <w:p w14:paraId="72E3BEED">
      <w:pPr>
        <w:spacing w:line="400" w:lineRule="exact"/>
        <w:rPr>
          <w:rFonts w:hint="eastAsia" w:ascii="仿宋" w:hAnsi="仿宋" w:eastAsia="仿宋" w:cs="仿宋"/>
          <w:color w:val="auto"/>
          <w:highlight w:val="none"/>
        </w:rPr>
      </w:pPr>
    </w:p>
    <w:p w14:paraId="109049A7">
      <w:pPr>
        <w:spacing w:line="400" w:lineRule="exact"/>
        <w:rPr>
          <w:rFonts w:hint="eastAsia" w:ascii="仿宋" w:hAnsi="仿宋" w:eastAsia="仿宋" w:cs="仿宋"/>
          <w:color w:val="auto"/>
          <w:highlight w:val="none"/>
        </w:rPr>
      </w:pPr>
    </w:p>
    <w:p w14:paraId="4B6E8E88">
      <w:pPr>
        <w:spacing w:line="400" w:lineRule="exact"/>
        <w:rPr>
          <w:rFonts w:hint="eastAsia" w:ascii="仿宋" w:hAnsi="仿宋" w:eastAsia="仿宋" w:cs="仿宋"/>
          <w:color w:val="auto"/>
          <w:highlight w:val="none"/>
        </w:rPr>
      </w:pPr>
    </w:p>
    <w:p w14:paraId="337527E4">
      <w:pPr>
        <w:spacing w:line="400" w:lineRule="exact"/>
        <w:rPr>
          <w:rFonts w:hint="eastAsia" w:ascii="仿宋" w:hAnsi="仿宋" w:eastAsia="仿宋" w:cs="仿宋"/>
          <w:color w:val="auto"/>
          <w:highlight w:val="none"/>
        </w:rPr>
      </w:pPr>
    </w:p>
    <w:p w14:paraId="3E9A0630">
      <w:pPr>
        <w:spacing w:line="400" w:lineRule="exact"/>
        <w:rPr>
          <w:rFonts w:hint="eastAsia" w:ascii="仿宋" w:hAnsi="仿宋" w:eastAsia="仿宋" w:cs="仿宋"/>
          <w:color w:val="auto"/>
          <w:highlight w:val="none"/>
        </w:rPr>
      </w:pPr>
    </w:p>
    <w:p w14:paraId="66A24DA1">
      <w:pPr>
        <w:spacing w:line="400" w:lineRule="exact"/>
        <w:rPr>
          <w:rFonts w:hint="eastAsia" w:ascii="仿宋" w:hAnsi="仿宋" w:eastAsia="仿宋" w:cs="仿宋"/>
          <w:color w:val="auto"/>
          <w:highlight w:val="none"/>
        </w:rPr>
      </w:pPr>
    </w:p>
    <w:p w14:paraId="4FD0CE50">
      <w:pPr>
        <w:spacing w:line="400" w:lineRule="exact"/>
        <w:rPr>
          <w:rFonts w:hint="eastAsia" w:ascii="仿宋" w:hAnsi="仿宋" w:eastAsia="仿宋" w:cs="仿宋"/>
          <w:color w:val="auto"/>
          <w:highlight w:val="none"/>
        </w:rPr>
      </w:pPr>
    </w:p>
    <w:p w14:paraId="77FEC82B">
      <w:pPr>
        <w:spacing w:line="400" w:lineRule="exact"/>
        <w:rPr>
          <w:rFonts w:hint="eastAsia" w:ascii="仿宋" w:hAnsi="仿宋" w:eastAsia="仿宋" w:cs="仿宋"/>
          <w:color w:val="auto"/>
          <w:highlight w:val="none"/>
        </w:rPr>
      </w:pPr>
    </w:p>
    <w:p w14:paraId="1299F60E">
      <w:pPr>
        <w:spacing w:line="400" w:lineRule="exact"/>
        <w:rPr>
          <w:rFonts w:hint="eastAsia" w:ascii="仿宋" w:hAnsi="仿宋" w:eastAsia="仿宋" w:cs="仿宋"/>
          <w:color w:val="auto"/>
          <w:highlight w:val="none"/>
        </w:rPr>
      </w:pPr>
    </w:p>
    <w:p w14:paraId="7FDD51EB">
      <w:pPr>
        <w:spacing w:line="400" w:lineRule="exact"/>
        <w:rPr>
          <w:rFonts w:hint="eastAsia" w:ascii="仿宋" w:hAnsi="仿宋" w:eastAsia="仿宋" w:cs="仿宋"/>
          <w:color w:val="auto"/>
          <w:highlight w:val="none"/>
        </w:rPr>
      </w:pPr>
    </w:p>
    <w:p w14:paraId="1B7204FA">
      <w:pPr>
        <w:spacing w:line="400" w:lineRule="exact"/>
        <w:rPr>
          <w:rFonts w:hint="eastAsia" w:ascii="仿宋" w:hAnsi="仿宋" w:eastAsia="仿宋" w:cs="仿宋"/>
          <w:color w:val="auto"/>
          <w:highlight w:val="none"/>
        </w:rPr>
      </w:pPr>
    </w:p>
    <w:p w14:paraId="53D7B0FE">
      <w:pPr>
        <w:spacing w:line="400" w:lineRule="exact"/>
        <w:jc w:val="left"/>
        <w:rPr>
          <w:rFonts w:hint="eastAsia" w:ascii="仿宋" w:hAnsi="仿宋" w:eastAsia="仿宋" w:cs="仿宋"/>
          <w:b/>
          <w:bCs/>
          <w:color w:val="auto"/>
          <w:sz w:val="28"/>
          <w:szCs w:val="28"/>
          <w:highlight w:val="none"/>
        </w:rPr>
      </w:pPr>
    </w:p>
    <w:p w14:paraId="2BFC7A76">
      <w:pPr>
        <w:spacing w:line="400" w:lineRule="exact"/>
        <w:jc w:val="left"/>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3、法定代表人授权委托书格式</w:t>
      </w:r>
    </w:p>
    <w:p w14:paraId="13E371F2">
      <w:pPr>
        <w:spacing w:before="156" w:beforeLines="50" w:after="156" w:afterLines="50" w:line="400" w:lineRule="exact"/>
        <w:jc w:val="center"/>
        <w:rPr>
          <w:rFonts w:hint="eastAsia" w:ascii="仿宋" w:hAnsi="仿宋" w:eastAsia="仿宋" w:cs="仿宋"/>
          <w:bCs/>
          <w:color w:val="auto"/>
          <w:sz w:val="30"/>
          <w:highlight w:val="none"/>
        </w:rPr>
      </w:pPr>
    </w:p>
    <w:p w14:paraId="75A1ED39">
      <w:pPr>
        <w:spacing w:before="156" w:beforeLines="50" w:after="156" w:afterLines="50" w:line="40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法定代表人授权委托书</w:t>
      </w:r>
    </w:p>
    <w:p w14:paraId="662680A0">
      <w:pPr>
        <w:spacing w:line="360" w:lineRule="auto"/>
        <w:rPr>
          <w:rFonts w:hint="default" w:ascii="仿宋" w:hAnsi="仿宋" w:eastAsia="仿宋" w:cs="仿宋"/>
          <w:color w:val="auto"/>
          <w:sz w:val="24"/>
          <w:highlight w:val="none"/>
          <w:u w:val="singl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u w:val="single"/>
          <w:lang w:val="en-US" w:eastAsia="zh-CN"/>
        </w:rPr>
        <w:t xml:space="preserve">             （采购单位）</w:t>
      </w:r>
    </w:p>
    <w:p w14:paraId="0ED5EDA7">
      <w:pPr>
        <w:spacing w:line="360" w:lineRule="auto"/>
        <w:ind w:firstLine="612"/>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 xml:space="preserve">   （法定代表人姓名）   </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（供应商）  </w:t>
      </w:r>
      <w:r>
        <w:rPr>
          <w:rFonts w:hint="eastAsia" w:ascii="仿宋" w:hAnsi="仿宋" w:eastAsia="仿宋" w:cs="仿宋"/>
          <w:color w:val="auto"/>
          <w:sz w:val="24"/>
          <w:highlight w:val="none"/>
        </w:rPr>
        <w:t>的法定代表人，现授权委托</w:t>
      </w:r>
      <w:r>
        <w:rPr>
          <w:rFonts w:hint="eastAsia" w:ascii="仿宋" w:hAnsi="仿宋" w:eastAsia="仿宋" w:cs="仿宋"/>
          <w:color w:val="auto"/>
          <w:sz w:val="24"/>
          <w:highlight w:val="none"/>
          <w:u w:val="single"/>
        </w:rPr>
        <w:t xml:space="preserve">（授权代表姓名）  </w:t>
      </w:r>
      <w:r>
        <w:rPr>
          <w:rFonts w:hint="eastAsia" w:ascii="仿宋" w:hAnsi="仿宋" w:eastAsia="仿宋" w:cs="仿宋"/>
          <w:color w:val="auto"/>
          <w:sz w:val="24"/>
          <w:highlight w:val="none"/>
        </w:rPr>
        <w:t xml:space="preserve">为我公司法定代表人授权代表，参加贵处组织的 </w:t>
      </w:r>
      <w:r>
        <w:rPr>
          <w:rFonts w:hint="eastAsia" w:ascii="仿宋" w:hAnsi="仿宋" w:eastAsia="仿宋" w:cs="仿宋"/>
          <w:color w:val="auto"/>
          <w:sz w:val="24"/>
          <w:highlight w:val="none"/>
          <w:u w:val="single"/>
        </w:rPr>
        <w:t xml:space="preserve">项目名称， （项目编号）  </w:t>
      </w:r>
      <w:r>
        <w:rPr>
          <w:rFonts w:hint="eastAsia" w:ascii="仿宋" w:hAnsi="仿宋" w:eastAsia="仿宋" w:cs="仿宋"/>
          <w:color w:val="auto"/>
          <w:sz w:val="24"/>
          <w:highlight w:val="none"/>
        </w:rPr>
        <w:t>项目谈判，全权处理本次谈判活动中的一切事宜，我承认授权代表全权代表我所签署的本项目的响应文件的内容。</w:t>
      </w:r>
    </w:p>
    <w:p w14:paraId="07BAA4E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授权代表无转授权，特此授权。</w:t>
      </w:r>
    </w:p>
    <w:p w14:paraId="6DFB5F18">
      <w:pPr>
        <w:spacing w:line="360" w:lineRule="auto"/>
        <w:ind w:firstLine="480" w:firstLineChars="200"/>
        <w:rPr>
          <w:rFonts w:hint="eastAsia" w:ascii="仿宋" w:hAnsi="仿宋" w:eastAsia="仿宋" w:cs="仿宋"/>
          <w:color w:val="auto"/>
          <w:sz w:val="24"/>
          <w:highlight w:val="none"/>
        </w:rPr>
      </w:pPr>
    </w:p>
    <w:p w14:paraId="224DF36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授权代表：</w:t>
      </w:r>
      <w:r>
        <w:rPr>
          <w:rFonts w:hint="eastAsia" w:ascii="仿宋" w:hAnsi="仿宋" w:eastAsia="仿宋" w:cs="仿宋"/>
          <w:color w:val="auto"/>
          <w:sz w:val="24"/>
          <w:highlight w:val="none"/>
          <w:u w:val="single"/>
        </w:rPr>
        <w:t xml:space="preserve">   （签字）  </w:t>
      </w:r>
      <w:r>
        <w:rPr>
          <w:rFonts w:hint="eastAsia" w:ascii="仿宋" w:hAnsi="仿宋" w:eastAsia="仿宋" w:cs="仿宋"/>
          <w:color w:val="auto"/>
          <w:sz w:val="24"/>
          <w:highlight w:val="none"/>
        </w:rPr>
        <w:t xml:space="preserve"> 性别 ： 年龄： 职务：</w:t>
      </w:r>
    </w:p>
    <w:p w14:paraId="76CC59C5">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详细通讯地址： 邮政编码：</w:t>
      </w:r>
    </w:p>
    <w:p w14:paraId="7AB533F3">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电话： 传真：</w:t>
      </w:r>
    </w:p>
    <w:p w14:paraId="17DD2564">
      <w:pPr>
        <w:ind w:left="1" w:firstLine="460" w:firstLineChars="192"/>
        <w:rPr>
          <w:rFonts w:hint="eastAsia" w:ascii="仿宋" w:hAnsi="仿宋" w:eastAsia="仿宋" w:cs="仿宋"/>
          <w:color w:val="auto"/>
          <w:sz w:val="24"/>
          <w:highlight w:val="none"/>
        </w:rPr>
      </w:pPr>
    </w:p>
    <w:p w14:paraId="0BA6E6EB">
      <w:pPr>
        <w:spacing w:line="360" w:lineRule="auto"/>
        <w:ind w:left="424" w:right="42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14:paraId="306B6372">
      <w:pPr>
        <w:spacing w:line="360" w:lineRule="auto"/>
        <w:ind w:left="424" w:right="42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w:t>
      </w:r>
    </w:p>
    <w:p w14:paraId="0773E40E">
      <w:pPr>
        <w:spacing w:line="360" w:lineRule="auto"/>
        <w:ind w:left="424" w:right="42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日期：年 月日</w:t>
      </w:r>
    </w:p>
    <w:p w14:paraId="6FF62A5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p w14:paraId="67BD15B1">
      <w:pPr>
        <w:pStyle w:val="17"/>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授权代表身份证扫描件</w:t>
      </w:r>
    </w:p>
    <w:p w14:paraId="1FD5231D">
      <w:pPr>
        <w:pStyle w:val="17"/>
        <w:ind w:firstLine="480" w:firstLineChars="200"/>
        <w:rPr>
          <w:rFonts w:hint="eastAsia" w:ascii="仿宋" w:hAnsi="仿宋" w:eastAsia="仿宋" w:cs="仿宋"/>
          <w:color w:val="auto"/>
          <w:sz w:val="24"/>
          <w:highlight w:val="none"/>
        </w:rPr>
      </w:pPr>
    </w:p>
    <w:p w14:paraId="53207076">
      <w:pPr>
        <w:spacing w:line="400" w:lineRule="exact"/>
        <w:jc w:val="left"/>
        <w:rPr>
          <w:rFonts w:hint="eastAsia" w:ascii="仿宋" w:hAnsi="仿宋" w:eastAsia="仿宋" w:cs="仿宋"/>
          <w:color w:val="auto"/>
          <w:szCs w:val="21"/>
          <w:highlight w:val="none"/>
        </w:rPr>
      </w:pPr>
    </w:p>
    <w:p w14:paraId="5F2BE7BA">
      <w:pPr>
        <w:spacing w:line="400" w:lineRule="exact"/>
        <w:jc w:val="left"/>
        <w:rPr>
          <w:rFonts w:hint="eastAsia" w:ascii="仿宋" w:hAnsi="仿宋" w:eastAsia="仿宋" w:cs="仿宋"/>
          <w:color w:val="auto"/>
          <w:szCs w:val="21"/>
          <w:highlight w:val="none"/>
        </w:rPr>
      </w:pPr>
    </w:p>
    <w:p w14:paraId="665F87F3">
      <w:pPr>
        <w:spacing w:line="400" w:lineRule="exact"/>
        <w:jc w:val="left"/>
        <w:rPr>
          <w:rFonts w:hint="eastAsia" w:ascii="仿宋" w:hAnsi="仿宋" w:eastAsia="仿宋" w:cs="仿宋"/>
          <w:color w:val="auto"/>
          <w:szCs w:val="21"/>
          <w:highlight w:val="none"/>
        </w:rPr>
      </w:pPr>
    </w:p>
    <w:p w14:paraId="17E1736C">
      <w:pPr>
        <w:spacing w:line="400" w:lineRule="exact"/>
        <w:jc w:val="left"/>
        <w:rPr>
          <w:rFonts w:hint="eastAsia" w:ascii="仿宋" w:hAnsi="仿宋" w:eastAsia="仿宋" w:cs="仿宋"/>
          <w:color w:val="auto"/>
          <w:szCs w:val="21"/>
          <w:highlight w:val="none"/>
        </w:rPr>
      </w:pPr>
    </w:p>
    <w:p w14:paraId="7B8867DA">
      <w:pPr>
        <w:spacing w:line="400" w:lineRule="exact"/>
        <w:jc w:val="left"/>
        <w:rPr>
          <w:rFonts w:hint="eastAsia" w:ascii="仿宋" w:hAnsi="仿宋" w:eastAsia="仿宋" w:cs="仿宋"/>
          <w:color w:val="auto"/>
          <w:szCs w:val="21"/>
          <w:highlight w:val="none"/>
        </w:rPr>
      </w:pPr>
    </w:p>
    <w:p w14:paraId="6A6ABEA1">
      <w:pPr>
        <w:rPr>
          <w:rFonts w:hint="eastAsia" w:ascii="仿宋" w:hAnsi="仿宋" w:eastAsia="仿宋" w:cs="仿宋"/>
          <w:b/>
          <w:color w:val="auto"/>
          <w:sz w:val="28"/>
          <w:szCs w:val="28"/>
          <w:highlight w:val="none"/>
        </w:rPr>
      </w:pPr>
      <w:r>
        <w:rPr>
          <w:rFonts w:hint="eastAsia" w:ascii="仿宋" w:hAnsi="仿宋" w:eastAsia="仿宋" w:cs="仿宋"/>
          <w:color w:val="auto"/>
          <w:kern w:val="0"/>
          <w:sz w:val="24"/>
          <w:highlight w:val="none"/>
        </w:rPr>
        <w:t>后附授权代理人最近三个月中任意一个月的社保缴纳证明文件</w:t>
      </w:r>
      <w:r>
        <w:rPr>
          <w:rFonts w:hint="eastAsia" w:ascii="仿宋" w:hAnsi="仿宋" w:eastAsia="仿宋" w:cs="仿宋"/>
          <w:b/>
          <w:color w:val="auto"/>
          <w:sz w:val="28"/>
          <w:szCs w:val="28"/>
          <w:highlight w:val="none"/>
        </w:rPr>
        <w:br w:type="page"/>
      </w:r>
    </w:p>
    <w:p w14:paraId="2177D881">
      <w:pPr>
        <w:adjustRightInd w:val="0"/>
        <w:snapToGrid w:val="0"/>
        <w:spacing w:before="156" w:beforeLines="50" w:after="156" w:afterLines="50" w:line="500" w:lineRule="exact"/>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4、符合参加政府采购活动应当具备的一般条件的承诺函</w:t>
      </w:r>
    </w:p>
    <w:p w14:paraId="0E6647E9">
      <w:pPr>
        <w:adjustRightInd w:val="0"/>
        <w:snapToGrid w:val="0"/>
        <w:spacing w:before="156" w:beforeLines="50" w:after="156" w:afterLines="50" w:line="500" w:lineRule="exact"/>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符合参加政府采购活动应当具备的一般条件的承诺函</w:t>
      </w:r>
    </w:p>
    <w:p w14:paraId="1F0D9BB5">
      <w:pPr>
        <w:tabs>
          <w:tab w:val="left" w:pos="1650"/>
        </w:tabs>
        <w:spacing w:line="560" w:lineRule="exact"/>
        <w:ind w:firstLine="63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rPr>
        <w:t>（采购单位、招标代理机构）</w:t>
      </w:r>
      <w:r>
        <w:rPr>
          <w:rFonts w:hint="eastAsia" w:ascii="仿宋" w:hAnsi="仿宋" w:eastAsia="仿宋" w:cs="仿宋"/>
          <w:color w:val="auto"/>
          <w:kern w:val="0"/>
          <w:sz w:val="24"/>
          <w:highlight w:val="none"/>
        </w:rPr>
        <w:t>：</w:t>
      </w:r>
    </w:p>
    <w:p w14:paraId="4EDFA16C">
      <w:pPr>
        <w:tabs>
          <w:tab w:val="left" w:pos="1650"/>
        </w:tabs>
        <w:spacing w:line="560" w:lineRule="exact"/>
        <w:ind w:firstLine="63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我方参与</w:t>
      </w:r>
      <w:r>
        <w:rPr>
          <w:rFonts w:hint="eastAsia" w:ascii="仿宋" w:hAnsi="仿宋" w:eastAsia="仿宋" w:cs="仿宋"/>
          <w:color w:val="auto"/>
          <w:kern w:val="0"/>
          <w:sz w:val="24"/>
          <w:highlight w:val="none"/>
          <w:u w:val="single"/>
        </w:rPr>
        <w:t>（项目名称）【项目编号：】</w:t>
      </w:r>
      <w:r>
        <w:rPr>
          <w:rFonts w:hint="eastAsia" w:ascii="仿宋" w:hAnsi="仿宋" w:eastAsia="仿宋" w:cs="仿宋"/>
          <w:color w:val="auto"/>
          <w:kern w:val="0"/>
          <w:sz w:val="24"/>
          <w:highlight w:val="none"/>
        </w:rPr>
        <w:t>政府采购活动，郑重承诺：</w:t>
      </w:r>
    </w:p>
    <w:p w14:paraId="7F214865">
      <w:pPr>
        <w:tabs>
          <w:tab w:val="left" w:pos="1650"/>
        </w:tabs>
        <w:spacing w:line="560" w:lineRule="exact"/>
        <w:ind w:firstLine="63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（一）具备《中华人民共和国政府采购法》第二十二条第一款规定的条件：</w:t>
      </w:r>
    </w:p>
    <w:p w14:paraId="77056E08">
      <w:pPr>
        <w:tabs>
          <w:tab w:val="left" w:pos="1650"/>
        </w:tabs>
        <w:spacing w:line="560" w:lineRule="exact"/>
        <w:ind w:firstLine="63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1、具有独立承担民事责任的能力；</w:t>
      </w:r>
    </w:p>
    <w:p w14:paraId="22DA4CCC">
      <w:pPr>
        <w:tabs>
          <w:tab w:val="left" w:pos="1650"/>
        </w:tabs>
        <w:spacing w:line="560" w:lineRule="exact"/>
        <w:ind w:firstLine="63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2、具有良好的商业信誉和健全的财务会计制度； </w:t>
      </w:r>
    </w:p>
    <w:p w14:paraId="263A573D">
      <w:pPr>
        <w:tabs>
          <w:tab w:val="left" w:pos="1650"/>
        </w:tabs>
        <w:spacing w:line="560" w:lineRule="exact"/>
        <w:ind w:firstLine="63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3、具有履行合同所必需的设备和专业技术能力；</w:t>
      </w:r>
    </w:p>
    <w:p w14:paraId="485EEC95">
      <w:pPr>
        <w:tabs>
          <w:tab w:val="left" w:pos="1650"/>
        </w:tabs>
        <w:spacing w:line="560" w:lineRule="exact"/>
        <w:ind w:firstLine="63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4、有依法缴纳税收和社会保障资金的良好记录；</w:t>
      </w:r>
    </w:p>
    <w:p w14:paraId="376EAB01">
      <w:pPr>
        <w:tabs>
          <w:tab w:val="left" w:pos="1650"/>
        </w:tabs>
        <w:spacing w:line="560" w:lineRule="exact"/>
        <w:ind w:firstLine="63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5、参加政府采购活动前三年内，在经营活动中没有重大违法记录；</w:t>
      </w:r>
    </w:p>
    <w:p w14:paraId="66910E42">
      <w:pPr>
        <w:tabs>
          <w:tab w:val="left" w:pos="1650"/>
        </w:tabs>
        <w:spacing w:line="560" w:lineRule="exact"/>
        <w:ind w:firstLine="63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6、具有法律、行政法规规定的其他条件。</w:t>
      </w:r>
    </w:p>
    <w:p w14:paraId="74871F1F">
      <w:pPr>
        <w:tabs>
          <w:tab w:val="left" w:pos="1650"/>
        </w:tabs>
        <w:spacing w:line="560" w:lineRule="exact"/>
        <w:ind w:firstLine="63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（二）未被信用中国（www.creditchina.gov.cn)、中国政府采购网（www.ccgp.gov.cn）列入失信被执行人、重大税收违法失信主体、政府采购严重违法失信行为记录名单。</w:t>
      </w:r>
    </w:p>
    <w:p w14:paraId="320A2165">
      <w:pPr>
        <w:tabs>
          <w:tab w:val="left" w:pos="1650"/>
        </w:tabs>
        <w:spacing w:line="560" w:lineRule="exact"/>
        <w:ind w:firstLine="63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（三）不存在以下情况：</w:t>
      </w:r>
    </w:p>
    <w:p w14:paraId="06C5F2AC">
      <w:pPr>
        <w:tabs>
          <w:tab w:val="left" w:pos="1650"/>
        </w:tabs>
        <w:spacing w:line="560" w:lineRule="exact"/>
        <w:ind w:firstLine="63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1、单位负责人为同一人或者存在直接控股、管理关系的不同供应商参加同一合同项下的政府采购活动的；</w:t>
      </w:r>
    </w:p>
    <w:p w14:paraId="1603969C">
      <w:pPr>
        <w:tabs>
          <w:tab w:val="left" w:pos="1650"/>
        </w:tabs>
        <w:spacing w:line="560" w:lineRule="exact"/>
        <w:ind w:firstLine="63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2、为采购项目提供整体设计、规范编制或者项目管理、监理、检测等服务后再参加该采购项目的其他采购活动的。</w:t>
      </w:r>
    </w:p>
    <w:p w14:paraId="38AB2AD8">
      <w:pPr>
        <w:tabs>
          <w:tab w:val="left" w:pos="1650"/>
        </w:tabs>
        <w:spacing w:line="560" w:lineRule="exact"/>
        <w:ind w:firstLine="630"/>
        <w:rPr>
          <w:rFonts w:hint="eastAsia" w:ascii="仿宋" w:hAnsi="仿宋" w:eastAsia="仿宋" w:cs="仿宋"/>
          <w:color w:val="auto"/>
          <w:kern w:val="0"/>
          <w:sz w:val="24"/>
          <w:highlight w:val="none"/>
          <w:lang w:val="zh-CN"/>
        </w:rPr>
      </w:pPr>
    </w:p>
    <w:p w14:paraId="2890074D">
      <w:pPr>
        <w:tabs>
          <w:tab w:val="left" w:pos="1650"/>
        </w:tabs>
        <w:spacing w:line="560" w:lineRule="exact"/>
        <w:rPr>
          <w:rFonts w:hint="eastAsia" w:ascii="仿宋" w:hAnsi="仿宋" w:eastAsia="仿宋" w:cs="仿宋"/>
          <w:color w:val="auto"/>
          <w:kern w:val="0"/>
          <w:sz w:val="24"/>
          <w:highlight w:val="none"/>
          <w:lang w:val="zh-CN"/>
        </w:rPr>
      </w:pPr>
    </w:p>
    <w:p w14:paraId="06C68E0A">
      <w:pPr>
        <w:tabs>
          <w:tab w:val="left" w:pos="1650"/>
        </w:tabs>
        <w:spacing w:line="560" w:lineRule="exact"/>
        <w:ind w:firstLine="63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投标人名称(加盖公章)：</w:t>
      </w:r>
    </w:p>
    <w:p w14:paraId="5E06604F">
      <w:pPr>
        <w:tabs>
          <w:tab w:val="left" w:pos="1650"/>
        </w:tabs>
        <w:spacing w:line="560" w:lineRule="exact"/>
        <w:ind w:firstLine="63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日期</w:t>
      </w:r>
      <w:r>
        <w:rPr>
          <w:rFonts w:hint="eastAsia" w:ascii="仿宋" w:hAnsi="仿宋" w:eastAsia="仿宋" w:cs="仿宋"/>
          <w:color w:val="auto"/>
          <w:kern w:val="0"/>
          <w:sz w:val="24"/>
          <w:highlight w:val="none"/>
        </w:rPr>
        <w:t xml:space="preserve">：  年  </w:t>
      </w:r>
      <w:r>
        <w:rPr>
          <w:rFonts w:hint="eastAsia" w:ascii="仿宋" w:hAnsi="仿宋" w:eastAsia="仿宋" w:cs="仿宋"/>
          <w:color w:val="auto"/>
          <w:kern w:val="0"/>
          <w:sz w:val="24"/>
          <w:highlight w:val="none"/>
          <w:lang w:val="zh-CN"/>
        </w:rPr>
        <w:t>月</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日</w:t>
      </w:r>
    </w:p>
    <w:p w14:paraId="4D15C0B4">
      <w:pPr>
        <w:spacing w:line="560" w:lineRule="exact"/>
        <w:jc w:val="right"/>
        <w:rPr>
          <w:rFonts w:hint="eastAsia" w:ascii="仿宋" w:hAnsi="仿宋" w:eastAsia="仿宋" w:cs="仿宋"/>
          <w:color w:val="auto"/>
          <w:sz w:val="24"/>
          <w:highlight w:val="none"/>
        </w:rPr>
      </w:pPr>
    </w:p>
    <w:p w14:paraId="78B6AC08">
      <w:pPr>
        <w:pStyle w:val="15"/>
        <w:adjustRightInd w:val="0"/>
        <w:snapToGrid w:val="0"/>
        <w:spacing w:before="0" w:after="0" w:line="340" w:lineRule="exact"/>
        <w:jc w:val="both"/>
        <w:rPr>
          <w:rFonts w:hint="eastAsia" w:ascii="仿宋" w:hAnsi="仿宋" w:eastAsia="仿宋" w:cs="仿宋"/>
          <w:b/>
          <w:bCs/>
          <w:color w:val="auto"/>
          <w:highlight w:val="none"/>
        </w:rPr>
      </w:pPr>
    </w:p>
    <w:p w14:paraId="753E1D0C">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5、信用承诺书</w:t>
      </w:r>
    </w:p>
    <w:p w14:paraId="26C3883D">
      <w:pPr>
        <w:adjustRightInd w:val="0"/>
        <w:snapToGrid w:val="0"/>
        <w:spacing w:before="156" w:beforeLines="50" w:after="156" w:afterLines="50" w:line="500" w:lineRule="exact"/>
        <w:rPr>
          <w:rFonts w:hint="eastAsia" w:ascii="仿宋" w:hAnsi="仿宋" w:eastAsia="仿宋" w:cs="仿宋"/>
          <w:b/>
          <w:color w:val="auto"/>
          <w:sz w:val="28"/>
          <w:szCs w:val="28"/>
          <w:highlight w:val="none"/>
        </w:rPr>
      </w:pPr>
    </w:p>
    <w:p w14:paraId="3EB701D5">
      <w:pPr>
        <w:adjustRightInd w:val="0"/>
        <w:snapToGrid w:val="0"/>
        <w:spacing w:before="156" w:beforeLines="50" w:after="156" w:afterLines="50" w:line="50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信用承诺书</w:t>
      </w:r>
    </w:p>
    <w:p w14:paraId="313A472D">
      <w:pPr>
        <w:adjustRightInd w:val="0"/>
        <w:snapToGrid w:val="0"/>
        <w:spacing w:before="156" w:beforeLines="50" w:after="156" w:afterLines="50" w:line="500" w:lineRule="exact"/>
        <w:rPr>
          <w:rFonts w:hint="eastAsia" w:ascii="仿宋" w:hAnsi="仿宋" w:eastAsia="仿宋" w:cs="仿宋"/>
          <w:b/>
          <w:color w:val="auto"/>
          <w:sz w:val="24"/>
          <w:highlight w:val="none"/>
        </w:rPr>
      </w:pPr>
    </w:p>
    <w:p w14:paraId="6F5D4DF6">
      <w:pPr>
        <w:tabs>
          <w:tab w:val="left" w:pos="1650"/>
        </w:tabs>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（竞标单位）</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（采购项目）</w:t>
      </w:r>
      <w:r>
        <w:rPr>
          <w:rFonts w:hint="eastAsia" w:ascii="仿宋" w:hAnsi="仿宋" w:eastAsia="仿宋" w:cs="仿宋"/>
          <w:color w:val="auto"/>
          <w:sz w:val="24"/>
          <w:highlight w:val="none"/>
        </w:rPr>
        <w:t>政府采购活动，郑重承诺如下：</w:t>
      </w:r>
    </w:p>
    <w:p w14:paraId="49BE2A7A">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对所提供的资料合法性、真实性、准确性和有效性负责；</w:t>
      </w:r>
    </w:p>
    <w:p w14:paraId="637E9D8B">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严格按照国家法律、法规和规章，依法开展相关经济活动，全面履行应尽的责任和义务；</w:t>
      </w:r>
    </w:p>
    <w:p w14:paraId="13A58CD2">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加强自我约束、自我规范、自我管理，不制假售假、不虚假宣传、不违约毁约、不恶意逃债、不偷税漏税，诚信依法经营；</w:t>
      </w:r>
    </w:p>
    <w:p w14:paraId="687CDF74">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自愿接受行政主管部门的依法检查、违背承诺约定将自愿承担违约责任，并接受法律法规和相关部门规章制度的惩戒和约束；</w:t>
      </w:r>
    </w:p>
    <w:p w14:paraId="1DE3E188">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按照信用信息管理有关要求，本单位（个人）同意将以上承诺在信用湖州网站公示，若违背以上承诺，依据相关规定记入企业（个人）信用档案；性质严重的，承担相应法律后果和责任，并依法依规列入严重失信名单。</w:t>
      </w:r>
    </w:p>
    <w:p w14:paraId="1DB3C6A3">
      <w:pPr>
        <w:tabs>
          <w:tab w:val="left" w:pos="1650"/>
        </w:tabs>
        <w:spacing w:line="560" w:lineRule="exact"/>
        <w:rPr>
          <w:rFonts w:hint="eastAsia" w:ascii="仿宋" w:hAnsi="仿宋" w:eastAsia="仿宋" w:cs="仿宋"/>
          <w:color w:val="auto"/>
          <w:sz w:val="24"/>
          <w:highlight w:val="none"/>
          <w:u w:val="single"/>
        </w:rPr>
      </w:pPr>
    </w:p>
    <w:p w14:paraId="3DBA1EE6">
      <w:pPr>
        <w:tabs>
          <w:tab w:val="left" w:pos="1650"/>
        </w:tabs>
        <w:spacing w:line="560" w:lineRule="exact"/>
        <w:rPr>
          <w:rFonts w:hint="eastAsia" w:ascii="仿宋" w:hAnsi="仿宋" w:eastAsia="仿宋" w:cs="仿宋"/>
          <w:color w:val="auto"/>
          <w:sz w:val="24"/>
          <w:highlight w:val="none"/>
          <w:u w:val="single"/>
        </w:rPr>
      </w:pPr>
    </w:p>
    <w:p w14:paraId="097C386B">
      <w:pPr>
        <w:pStyle w:val="72"/>
        <w:spacing w:before="0" w:beforeAutospacing="0" w:after="0" w:afterAutospacing="0" w:line="560" w:lineRule="exact"/>
        <w:ind w:firstLine="600" w:firstLineChars="250"/>
        <w:rPr>
          <w:rFonts w:hint="eastAsia" w:ascii="仿宋" w:hAnsi="仿宋" w:eastAsia="仿宋" w:cs="仿宋"/>
          <w:color w:val="auto"/>
          <w:spacing w:val="-7"/>
          <w:highlight w:val="none"/>
        </w:rPr>
      </w:pPr>
      <w:r>
        <w:rPr>
          <w:rFonts w:hint="eastAsia" w:ascii="仿宋" w:hAnsi="仿宋" w:eastAsia="仿宋" w:cs="仿宋"/>
          <w:color w:val="auto"/>
          <w:kern w:val="2"/>
          <w:highlight w:val="none"/>
        </w:rPr>
        <w:t>统一社会信用代码：</w:t>
      </w:r>
    </w:p>
    <w:p w14:paraId="6E7E2DA1">
      <w:pPr>
        <w:pStyle w:val="72"/>
        <w:spacing w:before="0" w:beforeAutospacing="0" w:after="0" w:afterAutospacing="0" w:line="560" w:lineRule="exact"/>
        <w:rPr>
          <w:rFonts w:hint="eastAsia" w:ascii="仿宋" w:hAnsi="仿宋" w:eastAsia="仿宋" w:cs="仿宋"/>
          <w:color w:val="auto"/>
          <w:highlight w:val="none"/>
        </w:rPr>
      </w:pPr>
    </w:p>
    <w:p w14:paraId="112EBF75">
      <w:pPr>
        <w:pStyle w:val="72"/>
        <w:spacing w:before="0" w:beforeAutospacing="0" w:after="0" w:afterAutospacing="0" w:line="560" w:lineRule="exact"/>
        <w:ind w:firstLine="3240" w:firstLineChars="1350"/>
        <w:jc w:val="right"/>
        <w:rPr>
          <w:rFonts w:hint="eastAsia"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65B0D5B8">
      <w:pPr>
        <w:tabs>
          <w:tab w:val="left" w:pos="1650"/>
        </w:tabs>
        <w:spacing w:line="560" w:lineRule="exact"/>
        <w:ind w:firstLine="630"/>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 xml:space="preserve">                                                   时间：  年  月   日</w:t>
      </w:r>
    </w:p>
    <w:p w14:paraId="48B11E51">
      <w:pPr>
        <w:spacing w:line="400" w:lineRule="exact"/>
        <w:jc w:val="left"/>
        <w:rPr>
          <w:rFonts w:hint="eastAsia" w:ascii="仿宋" w:hAnsi="仿宋" w:eastAsia="仿宋" w:cs="仿宋"/>
          <w:b/>
          <w:bCs/>
          <w:color w:val="auto"/>
          <w:sz w:val="28"/>
          <w:szCs w:val="28"/>
          <w:highlight w:val="none"/>
        </w:rPr>
      </w:pPr>
    </w:p>
    <w:p w14:paraId="7E327F06">
      <w:pPr>
        <w:pStyle w:val="43"/>
        <w:ind w:firstLine="562"/>
        <w:rPr>
          <w:rFonts w:hint="eastAsia" w:ascii="仿宋" w:hAnsi="仿宋" w:eastAsia="仿宋" w:cs="仿宋"/>
          <w:b/>
          <w:bCs/>
          <w:color w:val="auto"/>
          <w:sz w:val="28"/>
          <w:szCs w:val="28"/>
          <w:highlight w:val="none"/>
        </w:rPr>
      </w:pPr>
    </w:p>
    <w:p w14:paraId="762B6826">
      <w:pPr>
        <w:pStyle w:val="43"/>
        <w:ind w:firstLine="0" w:firstLineChars="0"/>
        <w:rPr>
          <w:rFonts w:hint="eastAsia" w:ascii="仿宋" w:hAnsi="仿宋" w:eastAsia="仿宋" w:cs="仿宋"/>
          <w:b/>
          <w:bCs/>
          <w:color w:val="auto"/>
          <w:sz w:val="28"/>
          <w:szCs w:val="28"/>
          <w:highlight w:val="none"/>
        </w:rPr>
      </w:pPr>
    </w:p>
    <w:p w14:paraId="7A25934D">
      <w:pPr>
        <w:pStyle w:val="43"/>
        <w:ind w:firstLine="0" w:firstLineChars="0"/>
        <w:rPr>
          <w:rFonts w:hint="eastAsia" w:ascii="仿宋" w:hAnsi="仿宋" w:eastAsia="仿宋" w:cs="仿宋"/>
          <w:b/>
          <w:bCs/>
          <w:color w:val="auto"/>
          <w:sz w:val="28"/>
          <w:szCs w:val="28"/>
          <w:highlight w:val="none"/>
        </w:rPr>
      </w:pPr>
    </w:p>
    <w:p w14:paraId="2F6C6F33">
      <w:pPr>
        <w:spacing w:line="400" w:lineRule="exact"/>
        <w:jc w:val="left"/>
        <w:rPr>
          <w:rFonts w:hint="eastAsia" w:ascii="仿宋" w:hAnsi="仿宋" w:eastAsia="仿宋" w:cs="仿宋"/>
          <w:b/>
          <w:bCs/>
          <w:color w:val="auto"/>
          <w:sz w:val="28"/>
          <w:szCs w:val="28"/>
          <w:highlight w:val="none"/>
        </w:rPr>
      </w:pPr>
    </w:p>
    <w:p w14:paraId="1EE8B761">
      <w:pPr>
        <w:spacing w:line="400" w:lineRule="exact"/>
        <w:jc w:val="left"/>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6、中小企业声明函、残疾人福利性单位声明函及监狱企业声明函</w:t>
      </w:r>
    </w:p>
    <w:p w14:paraId="6C735B3D">
      <w:pPr>
        <w:spacing w:line="400" w:lineRule="exact"/>
        <w:jc w:val="left"/>
        <w:rPr>
          <w:rFonts w:hint="eastAsia" w:ascii="仿宋" w:hAnsi="仿宋" w:eastAsia="仿宋" w:cs="仿宋"/>
          <w:b/>
          <w:bCs/>
          <w:color w:val="auto"/>
          <w:sz w:val="28"/>
          <w:szCs w:val="28"/>
          <w:highlight w:val="none"/>
        </w:rPr>
      </w:pPr>
    </w:p>
    <w:p w14:paraId="59E80281">
      <w:pPr>
        <w:snapToGrid w:val="0"/>
        <w:spacing w:before="50" w:after="50" w:line="400" w:lineRule="exact"/>
        <w:jc w:val="center"/>
        <w:rPr>
          <w:rFonts w:hint="eastAsia" w:ascii="仿宋" w:hAnsi="仿宋" w:eastAsia="仿宋" w:cs="仿宋"/>
          <w:b/>
          <w:color w:val="auto"/>
          <w:sz w:val="32"/>
          <w:szCs w:val="32"/>
          <w:highlight w:val="none"/>
        </w:rPr>
      </w:pPr>
    </w:p>
    <w:p w14:paraId="0F3E419F">
      <w:pPr>
        <w:snapToGrid w:val="0"/>
        <w:spacing w:before="50" w:after="50" w:line="400" w:lineRule="exact"/>
        <w:jc w:val="center"/>
        <w:rPr>
          <w:rFonts w:hint="eastAsia" w:ascii="仿宋" w:hAnsi="仿宋" w:eastAsia="仿宋" w:cs="仿宋"/>
          <w:b/>
          <w:color w:val="auto"/>
          <w:sz w:val="32"/>
          <w:szCs w:val="32"/>
          <w:highlight w:val="none"/>
        </w:rPr>
      </w:pPr>
    </w:p>
    <w:p w14:paraId="04EA01C1">
      <w:pPr>
        <w:pStyle w:val="15"/>
        <w:snapToGrid w:val="0"/>
        <w:spacing w:before="120" w:after="120"/>
        <w:jc w:val="center"/>
        <w:rPr>
          <w:rFonts w:hint="eastAsia" w:ascii="仿宋" w:hAnsi="仿宋" w:eastAsia="仿宋" w:cs="仿宋"/>
          <w:b/>
          <w:color w:val="auto"/>
          <w:highlight w:val="none"/>
        </w:rPr>
      </w:pPr>
      <w:r>
        <w:rPr>
          <w:rFonts w:hint="eastAsia" w:ascii="仿宋" w:hAnsi="仿宋" w:eastAsia="仿宋" w:cs="仿宋"/>
          <w:b/>
          <w:color w:val="auto"/>
          <w:highlight w:val="none"/>
        </w:rPr>
        <w:t>中小企业声明函</w:t>
      </w:r>
    </w:p>
    <w:p w14:paraId="547E9ECC">
      <w:pPr>
        <w:snapToGrid w:val="0"/>
        <w:spacing w:before="50" w:after="50" w:line="360" w:lineRule="auto"/>
        <w:jc w:val="center"/>
        <w:rPr>
          <w:rFonts w:hint="eastAsia" w:ascii="仿宋" w:hAnsi="仿宋" w:eastAsia="仿宋" w:cs="仿宋"/>
          <w:b/>
          <w:color w:val="auto"/>
          <w:sz w:val="28"/>
          <w:szCs w:val="28"/>
          <w:highlight w:val="none"/>
        </w:rPr>
      </w:pPr>
    </w:p>
    <w:p w14:paraId="768B9E2D">
      <w:pPr>
        <w:rPr>
          <w:rFonts w:hint="eastAsia" w:ascii="仿宋" w:hAnsi="仿宋" w:eastAsia="仿宋" w:cs="仿宋"/>
          <w:color w:val="auto"/>
          <w:szCs w:val="28"/>
          <w:highlight w:val="none"/>
        </w:rPr>
      </w:pPr>
    </w:p>
    <w:p w14:paraId="62E6D0BA">
      <w:pPr>
        <w:widowControl/>
        <w:spacing w:line="500" w:lineRule="exact"/>
        <w:ind w:firstLine="360" w:firstLineChars="15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本公司（联合体）郑重声明，根据《政府采购促进中小企业发展管理办法》（财库﹝2021﹞46 号）的规定，本公司（联合体）参加</w:t>
      </w:r>
      <w:r>
        <w:rPr>
          <w:rFonts w:hint="eastAsia" w:ascii="仿宋" w:hAnsi="仿宋" w:eastAsia="仿宋" w:cs="仿宋"/>
          <w:i/>
          <w:iCs/>
          <w:color w:val="auto"/>
          <w:kern w:val="0"/>
          <w:sz w:val="24"/>
          <w:highlight w:val="none"/>
          <w:u w:val="single"/>
        </w:rPr>
        <w:t>（单位名称）</w:t>
      </w:r>
      <w:r>
        <w:rPr>
          <w:rFonts w:hint="eastAsia" w:ascii="仿宋" w:hAnsi="仿宋" w:eastAsia="仿宋" w:cs="仿宋"/>
          <w:color w:val="auto"/>
          <w:kern w:val="0"/>
          <w:sz w:val="24"/>
          <w:highlight w:val="none"/>
        </w:rPr>
        <w:t>的</w:t>
      </w:r>
      <w:r>
        <w:rPr>
          <w:rFonts w:hint="eastAsia" w:ascii="仿宋" w:hAnsi="仿宋" w:eastAsia="仿宋" w:cs="仿宋"/>
          <w:i/>
          <w:iCs/>
          <w:color w:val="auto"/>
          <w:kern w:val="0"/>
          <w:sz w:val="24"/>
          <w:highlight w:val="none"/>
          <w:u w:val="single"/>
        </w:rPr>
        <w:t>（项目名称）</w:t>
      </w:r>
      <w:r>
        <w:rPr>
          <w:rFonts w:hint="eastAsia" w:ascii="仿宋" w:hAnsi="仿宋" w:eastAsia="仿宋" w:cs="仿宋"/>
          <w:color w:val="auto"/>
          <w:kern w:val="0"/>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231F9B43">
      <w:pPr>
        <w:widowControl/>
        <w:spacing w:line="500" w:lineRule="exact"/>
        <w:ind w:firstLine="360" w:firstLineChars="15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 </w:t>
      </w:r>
      <w:r>
        <w:rPr>
          <w:rFonts w:hint="eastAsia" w:ascii="仿宋" w:hAnsi="仿宋" w:eastAsia="仿宋" w:cs="仿宋"/>
          <w:i/>
          <w:iCs/>
          <w:color w:val="auto"/>
          <w:kern w:val="0"/>
          <w:sz w:val="24"/>
          <w:highlight w:val="none"/>
          <w:u w:val="single"/>
        </w:rPr>
        <w:t>（标的名称）</w:t>
      </w:r>
      <w:r>
        <w:rPr>
          <w:rFonts w:hint="eastAsia" w:ascii="仿宋" w:hAnsi="仿宋" w:eastAsia="仿宋" w:cs="仿宋"/>
          <w:color w:val="auto"/>
          <w:kern w:val="0"/>
          <w:sz w:val="24"/>
          <w:highlight w:val="none"/>
        </w:rPr>
        <w:t>，属于</w:t>
      </w:r>
      <w:r>
        <w:rPr>
          <w:rFonts w:hint="eastAsia" w:ascii="仿宋" w:hAnsi="仿宋" w:eastAsia="仿宋" w:cs="仿宋"/>
          <w:i/>
          <w:iCs/>
          <w:color w:val="auto"/>
          <w:kern w:val="0"/>
          <w:sz w:val="24"/>
          <w:highlight w:val="none"/>
          <w:u w:val="single"/>
        </w:rPr>
        <w:t>（采购文件中明确的所属行业）</w:t>
      </w:r>
      <w:r>
        <w:rPr>
          <w:rFonts w:hint="eastAsia" w:ascii="仿宋" w:hAnsi="仿宋" w:eastAsia="仿宋" w:cs="仿宋"/>
          <w:color w:val="auto"/>
          <w:kern w:val="0"/>
          <w:sz w:val="24"/>
          <w:highlight w:val="none"/>
        </w:rPr>
        <w:t>； 承建（承接）企业为</w:t>
      </w:r>
      <w:r>
        <w:rPr>
          <w:rFonts w:hint="eastAsia" w:ascii="仿宋" w:hAnsi="仿宋" w:eastAsia="仿宋" w:cs="仿宋"/>
          <w:i/>
          <w:iCs/>
          <w:color w:val="auto"/>
          <w:kern w:val="0"/>
          <w:sz w:val="24"/>
          <w:highlight w:val="none"/>
          <w:u w:val="single"/>
        </w:rPr>
        <w:t>（企业名称）</w:t>
      </w:r>
      <w:r>
        <w:rPr>
          <w:rFonts w:hint="eastAsia" w:ascii="仿宋" w:hAnsi="仿宋" w:eastAsia="仿宋" w:cs="仿宋"/>
          <w:color w:val="auto"/>
          <w:kern w:val="0"/>
          <w:sz w:val="24"/>
          <w:highlight w:val="none"/>
        </w:rPr>
        <w:t>，从业人员</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人，营业收入为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万元，资产总额为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万元，属于</w:t>
      </w:r>
      <w:r>
        <w:rPr>
          <w:rFonts w:hint="eastAsia" w:ascii="仿宋" w:hAnsi="仿宋" w:eastAsia="仿宋" w:cs="仿宋"/>
          <w:color w:val="auto"/>
          <w:kern w:val="0"/>
          <w:sz w:val="24"/>
          <w:highlight w:val="none"/>
          <w:u w:val="single"/>
        </w:rPr>
        <w:t xml:space="preserve">           </w:t>
      </w:r>
      <w:r>
        <w:rPr>
          <w:rFonts w:hint="eastAsia" w:ascii="仿宋" w:hAnsi="仿宋" w:eastAsia="仿宋" w:cs="仿宋"/>
          <w:i/>
          <w:iCs/>
          <w:color w:val="auto"/>
          <w:kern w:val="0"/>
          <w:sz w:val="24"/>
          <w:highlight w:val="none"/>
        </w:rPr>
        <w:t>（中型企业、 小型企业、微型企业）</w:t>
      </w:r>
      <w:r>
        <w:rPr>
          <w:rFonts w:hint="eastAsia" w:ascii="仿宋" w:hAnsi="仿宋" w:eastAsia="仿宋" w:cs="仿宋"/>
          <w:color w:val="auto"/>
          <w:kern w:val="0"/>
          <w:sz w:val="24"/>
          <w:highlight w:val="none"/>
        </w:rPr>
        <w:t xml:space="preserve">； </w:t>
      </w:r>
    </w:p>
    <w:p w14:paraId="2F2AB8D0">
      <w:pPr>
        <w:widowControl/>
        <w:spacing w:line="500" w:lineRule="exact"/>
        <w:ind w:firstLine="360" w:firstLineChars="15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2. </w:t>
      </w:r>
      <w:r>
        <w:rPr>
          <w:rFonts w:hint="eastAsia" w:ascii="仿宋" w:hAnsi="仿宋" w:eastAsia="仿宋" w:cs="仿宋"/>
          <w:i/>
          <w:iCs/>
          <w:color w:val="auto"/>
          <w:kern w:val="0"/>
          <w:sz w:val="24"/>
          <w:highlight w:val="none"/>
          <w:u w:val="single"/>
        </w:rPr>
        <w:t>（标的名称）</w:t>
      </w:r>
      <w:r>
        <w:rPr>
          <w:rFonts w:hint="eastAsia" w:ascii="仿宋" w:hAnsi="仿宋" w:eastAsia="仿宋" w:cs="仿宋"/>
          <w:color w:val="auto"/>
          <w:kern w:val="0"/>
          <w:sz w:val="24"/>
          <w:highlight w:val="none"/>
        </w:rPr>
        <w:t>，属于</w:t>
      </w:r>
      <w:r>
        <w:rPr>
          <w:rFonts w:hint="eastAsia" w:ascii="仿宋" w:hAnsi="仿宋" w:eastAsia="仿宋" w:cs="仿宋"/>
          <w:i/>
          <w:iCs/>
          <w:color w:val="auto"/>
          <w:kern w:val="0"/>
          <w:sz w:val="24"/>
          <w:highlight w:val="none"/>
          <w:u w:val="single"/>
        </w:rPr>
        <w:t>（采购文件中明确的所属行业）</w:t>
      </w:r>
      <w:r>
        <w:rPr>
          <w:rFonts w:hint="eastAsia" w:ascii="仿宋" w:hAnsi="仿宋" w:eastAsia="仿宋" w:cs="仿宋"/>
          <w:color w:val="auto"/>
          <w:kern w:val="0"/>
          <w:sz w:val="24"/>
          <w:highlight w:val="none"/>
        </w:rPr>
        <w:t>；承建（承接）企业为</w:t>
      </w:r>
      <w:r>
        <w:rPr>
          <w:rFonts w:hint="eastAsia" w:ascii="仿宋" w:hAnsi="仿宋" w:eastAsia="仿宋" w:cs="仿宋"/>
          <w:i/>
          <w:iCs/>
          <w:color w:val="auto"/>
          <w:kern w:val="0"/>
          <w:sz w:val="24"/>
          <w:highlight w:val="none"/>
          <w:u w:val="single"/>
        </w:rPr>
        <w:t>（企业名称）</w:t>
      </w:r>
      <w:r>
        <w:rPr>
          <w:rFonts w:hint="eastAsia" w:ascii="仿宋" w:hAnsi="仿宋" w:eastAsia="仿宋" w:cs="仿宋"/>
          <w:color w:val="auto"/>
          <w:kern w:val="0"/>
          <w:sz w:val="24"/>
          <w:highlight w:val="none"/>
        </w:rPr>
        <w:t>，从业人员</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人，营业收入为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万元，资产总额为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万元，属于</w:t>
      </w:r>
      <w:r>
        <w:rPr>
          <w:rFonts w:hint="eastAsia" w:ascii="仿宋" w:hAnsi="仿宋" w:eastAsia="仿宋" w:cs="仿宋"/>
          <w:color w:val="auto"/>
          <w:kern w:val="0"/>
          <w:sz w:val="24"/>
          <w:highlight w:val="none"/>
          <w:u w:val="single"/>
        </w:rPr>
        <w:t xml:space="preserve">        </w:t>
      </w:r>
      <w:r>
        <w:rPr>
          <w:rFonts w:hint="eastAsia" w:ascii="仿宋" w:hAnsi="仿宋" w:eastAsia="仿宋" w:cs="仿宋"/>
          <w:i/>
          <w:iCs/>
          <w:color w:val="auto"/>
          <w:kern w:val="0"/>
          <w:sz w:val="24"/>
          <w:highlight w:val="none"/>
        </w:rPr>
        <w:t>（中型企业、 小型企业、微型企业）</w:t>
      </w:r>
      <w:r>
        <w:rPr>
          <w:rFonts w:hint="eastAsia" w:ascii="仿宋" w:hAnsi="仿宋" w:eastAsia="仿宋" w:cs="仿宋"/>
          <w:color w:val="auto"/>
          <w:kern w:val="0"/>
          <w:sz w:val="24"/>
          <w:highlight w:val="none"/>
        </w:rPr>
        <w:t xml:space="preserve">； </w:t>
      </w:r>
    </w:p>
    <w:p w14:paraId="61B31782">
      <w:pPr>
        <w:widowControl/>
        <w:spacing w:line="5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p>
    <w:p w14:paraId="6978D725">
      <w:pPr>
        <w:widowControl/>
        <w:spacing w:line="50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以上企业，不属于大企业的分支机构，不存在控股股东为大企业的情形，也不存在与大企业的负责人为同一人的情形。</w:t>
      </w:r>
    </w:p>
    <w:p w14:paraId="02860A7A">
      <w:pPr>
        <w:widowControl/>
        <w:spacing w:line="500" w:lineRule="exact"/>
        <w:ind w:firstLine="360" w:firstLineChars="15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本企业对上述声明内容的真实性负责。如有虚假，将依 法承担相应责任。 </w:t>
      </w:r>
    </w:p>
    <w:p w14:paraId="3C47259F">
      <w:pPr>
        <w:widowControl/>
        <w:spacing w:line="500" w:lineRule="exact"/>
        <w:jc w:val="left"/>
        <w:rPr>
          <w:rFonts w:hint="eastAsia" w:ascii="仿宋" w:hAnsi="仿宋" w:eastAsia="仿宋" w:cs="仿宋"/>
          <w:color w:val="auto"/>
          <w:kern w:val="0"/>
          <w:sz w:val="24"/>
          <w:highlight w:val="none"/>
        </w:rPr>
      </w:pPr>
    </w:p>
    <w:p w14:paraId="45BBEDC4">
      <w:pPr>
        <w:widowControl/>
        <w:spacing w:line="500" w:lineRule="exact"/>
        <w:jc w:val="left"/>
        <w:rPr>
          <w:rFonts w:hint="eastAsia" w:ascii="仿宋" w:hAnsi="仿宋" w:eastAsia="仿宋" w:cs="仿宋"/>
          <w:color w:val="auto"/>
          <w:kern w:val="0"/>
          <w:sz w:val="24"/>
          <w:highlight w:val="none"/>
        </w:rPr>
      </w:pPr>
    </w:p>
    <w:p w14:paraId="37DF9271">
      <w:pPr>
        <w:pStyle w:val="40"/>
        <w:spacing w:line="460" w:lineRule="exact"/>
        <w:ind w:firstLine="4800" w:firstLineChars="2000"/>
        <w:rPr>
          <w:rFonts w:hint="eastAsia" w:ascii="仿宋" w:hAnsi="仿宋" w:eastAsia="仿宋" w:cs="仿宋"/>
          <w:color w:val="auto"/>
          <w:highlight w:val="none"/>
        </w:rPr>
      </w:pPr>
      <w:r>
        <w:rPr>
          <w:rFonts w:hint="eastAsia" w:ascii="仿宋" w:hAnsi="仿宋" w:eastAsia="仿宋" w:cs="仿宋"/>
          <w:color w:val="auto"/>
          <w:highlight w:val="none"/>
        </w:rPr>
        <w:t xml:space="preserve">供应商名称(盖章)： </w:t>
      </w:r>
    </w:p>
    <w:p w14:paraId="1F528A9D">
      <w:pPr>
        <w:pStyle w:val="40"/>
        <w:spacing w:line="460" w:lineRule="exact"/>
        <w:ind w:firstLine="4800" w:firstLineChars="2000"/>
        <w:rPr>
          <w:rFonts w:hint="eastAsia" w:ascii="仿宋" w:hAnsi="仿宋" w:eastAsia="仿宋" w:cs="仿宋"/>
          <w:color w:val="auto"/>
          <w:highlight w:val="none"/>
        </w:rPr>
      </w:pPr>
    </w:p>
    <w:p w14:paraId="72455981">
      <w:pPr>
        <w:snapToGrid w:val="0"/>
        <w:spacing w:before="156" w:beforeLines="50" w:after="50" w:line="460" w:lineRule="exact"/>
        <w:ind w:firstLine="4800" w:firstLineChars="20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3A269AEE">
      <w:pPr>
        <w:pStyle w:val="40"/>
        <w:spacing w:line="460" w:lineRule="exact"/>
        <w:rPr>
          <w:rFonts w:hint="eastAsia" w:ascii="仿宋" w:hAnsi="仿宋" w:eastAsia="仿宋" w:cs="仿宋"/>
          <w:color w:val="auto"/>
          <w:highlight w:val="none"/>
        </w:rPr>
      </w:pPr>
    </w:p>
    <w:p w14:paraId="6D538759">
      <w:pPr>
        <w:pStyle w:val="40"/>
        <w:pageBreakBefore/>
        <w:spacing w:line="460" w:lineRule="exact"/>
        <w:jc w:val="center"/>
        <w:rPr>
          <w:rFonts w:hint="eastAsia" w:ascii="仿宋" w:hAnsi="仿宋" w:eastAsia="仿宋" w:cs="仿宋"/>
          <w:b/>
          <w:color w:val="auto"/>
          <w:highlight w:val="none"/>
        </w:rPr>
      </w:pPr>
      <w:r>
        <w:rPr>
          <w:rFonts w:hint="eastAsia" w:ascii="仿宋" w:hAnsi="仿宋" w:eastAsia="仿宋" w:cs="仿宋"/>
          <w:b/>
          <w:color w:val="auto"/>
          <w:highlight w:val="none"/>
        </w:rPr>
        <w:t>监狱企业声明函</w:t>
      </w:r>
    </w:p>
    <w:p w14:paraId="55BDAC46">
      <w:pPr>
        <w:pStyle w:val="40"/>
        <w:spacing w:line="46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【非监狱企业的不用提供】</w:t>
      </w:r>
    </w:p>
    <w:p w14:paraId="3771D3B5">
      <w:pPr>
        <w:pStyle w:val="40"/>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本企业郑重声明，根据《关于政府采购支持监狱企业发展有关</w:t>
      </w:r>
      <w:r>
        <w:rPr>
          <w:rFonts w:hint="eastAsia" w:ascii="仿宋" w:hAnsi="仿宋" w:eastAsia="仿宋" w:cs="仿宋"/>
          <w:color w:val="auto"/>
          <w:highlight w:val="none"/>
          <w:lang w:val="en-US" w:eastAsia="zh-CN"/>
        </w:rPr>
        <w:t>问题</w:t>
      </w:r>
      <w:r>
        <w:rPr>
          <w:rFonts w:hint="eastAsia" w:ascii="仿宋" w:hAnsi="仿宋" w:eastAsia="仿宋" w:cs="仿宋"/>
          <w:color w:val="auto"/>
          <w:highlight w:val="none"/>
        </w:rPr>
        <w:t xml:space="preserve">的通知》(财库[2014]68号）的规定，本企业为监狱企业。 </w:t>
      </w:r>
    </w:p>
    <w:p w14:paraId="069B121A">
      <w:pPr>
        <w:pStyle w:val="40"/>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根据上述标准，我企业属于监狱企业的理由为: </w:t>
      </w:r>
    </w:p>
    <w:p w14:paraId="672C1C26">
      <w:pPr>
        <w:pStyle w:val="40"/>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本企业为参加(项目名称: ) (项目编号: )采购活动提供本企业的产品。 </w:t>
      </w:r>
    </w:p>
    <w:p w14:paraId="410C54A5">
      <w:pPr>
        <w:pStyle w:val="40"/>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本企业对上述声明的真实性负责。如有虚假，将依法承担相应责任。 </w:t>
      </w:r>
    </w:p>
    <w:p w14:paraId="6371F943">
      <w:pPr>
        <w:pStyle w:val="40"/>
        <w:spacing w:line="460" w:lineRule="exact"/>
        <w:ind w:firstLine="480" w:firstLineChars="200"/>
        <w:rPr>
          <w:rFonts w:hint="eastAsia" w:ascii="仿宋" w:hAnsi="仿宋" w:eastAsia="仿宋" w:cs="仿宋"/>
          <w:color w:val="auto"/>
          <w:highlight w:val="none"/>
        </w:rPr>
      </w:pPr>
    </w:p>
    <w:p w14:paraId="17793090">
      <w:pPr>
        <w:pStyle w:val="40"/>
        <w:spacing w:line="460" w:lineRule="exact"/>
        <w:ind w:firstLine="480" w:firstLineChars="200"/>
        <w:rPr>
          <w:rFonts w:hint="eastAsia" w:ascii="仿宋" w:hAnsi="仿宋" w:eastAsia="仿宋" w:cs="仿宋"/>
          <w:color w:val="auto"/>
          <w:highlight w:val="none"/>
        </w:rPr>
      </w:pPr>
    </w:p>
    <w:p w14:paraId="77AAD8B2">
      <w:pPr>
        <w:pStyle w:val="40"/>
        <w:spacing w:line="460" w:lineRule="exact"/>
        <w:ind w:firstLine="4800" w:firstLineChars="2000"/>
        <w:rPr>
          <w:rFonts w:hint="eastAsia" w:ascii="仿宋" w:hAnsi="仿宋" w:eastAsia="仿宋" w:cs="仿宋"/>
          <w:color w:val="auto"/>
          <w:highlight w:val="none"/>
        </w:rPr>
      </w:pPr>
      <w:r>
        <w:rPr>
          <w:rFonts w:hint="eastAsia" w:ascii="仿宋" w:hAnsi="仿宋" w:eastAsia="仿宋" w:cs="仿宋"/>
          <w:color w:val="auto"/>
          <w:highlight w:val="none"/>
        </w:rPr>
        <w:t xml:space="preserve">供应商名称(盖章)： </w:t>
      </w:r>
    </w:p>
    <w:p w14:paraId="5FDEBBB8">
      <w:pPr>
        <w:pStyle w:val="40"/>
        <w:spacing w:line="460" w:lineRule="exact"/>
        <w:ind w:firstLine="4800" w:firstLineChars="2000"/>
        <w:rPr>
          <w:rFonts w:hint="eastAsia" w:ascii="仿宋" w:hAnsi="仿宋" w:eastAsia="仿宋" w:cs="仿宋"/>
          <w:color w:val="auto"/>
          <w:highlight w:val="none"/>
        </w:rPr>
      </w:pPr>
    </w:p>
    <w:p w14:paraId="5D0D02FD">
      <w:pPr>
        <w:snapToGrid w:val="0"/>
        <w:spacing w:before="156" w:beforeLines="50" w:after="50" w:line="460" w:lineRule="exact"/>
        <w:ind w:firstLine="4800" w:firstLineChars="20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5210382D">
      <w:pPr>
        <w:pStyle w:val="40"/>
        <w:spacing w:line="460" w:lineRule="exact"/>
        <w:rPr>
          <w:rFonts w:hint="eastAsia" w:ascii="仿宋" w:hAnsi="仿宋" w:eastAsia="仿宋" w:cs="仿宋"/>
          <w:color w:val="auto"/>
          <w:highlight w:val="none"/>
        </w:rPr>
      </w:pPr>
    </w:p>
    <w:p w14:paraId="2C878B8C">
      <w:pPr>
        <w:snapToGrid w:val="0"/>
        <w:spacing w:before="156" w:beforeLines="50" w:after="50" w:line="4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监狱企业参加政府采购活动时，应当提供由省级以上监狱管理局、戒毒管理局(含新疆生产建设兵团)出具的属于监狱企业的证明文件；</w:t>
      </w:r>
    </w:p>
    <w:p w14:paraId="7CA5E69B">
      <w:pPr>
        <w:snapToGrid w:val="0"/>
        <w:spacing w:before="156" w:beforeLines="50" w:after="50" w:line="4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6A6BB627">
      <w:pPr>
        <w:snapToGrid w:val="0"/>
        <w:spacing w:before="156" w:beforeLines="50" w:after="50" w:line="460" w:lineRule="exact"/>
        <w:ind w:firstLine="480" w:firstLineChars="200"/>
        <w:jc w:val="left"/>
        <w:rPr>
          <w:rFonts w:hint="eastAsia" w:ascii="仿宋" w:hAnsi="仿宋" w:eastAsia="仿宋" w:cs="仿宋"/>
          <w:color w:val="auto"/>
          <w:sz w:val="24"/>
          <w:highlight w:val="none"/>
        </w:rPr>
      </w:pPr>
    </w:p>
    <w:p w14:paraId="2AEB757F">
      <w:pPr>
        <w:pStyle w:val="40"/>
        <w:spacing w:line="460" w:lineRule="exact"/>
        <w:rPr>
          <w:rFonts w:hint="eastAsia" w:ascii="仿宋" w:hAnsi="仿宋" w:eastAsia="仿宋" w:cs="仿宋"/>
          <w:color w:val="auto"/>
          <w:highlight w:val="none"/>
        </w:rPr>
      </w:pPr>
    </w:p>
    <w:p w14:paraId="78EED9F9">
      <w:pPr>
        <w:pStyle w:val="40"/>
        <w:pageBreakBefore/>
        <w:spacing w:line="460" w:lineRule="exact"/>
        <w:jc w:val="center"/>
        <w:rPr>
          <w:rFonts w:hint="eastAsia" w:ascii="仿宋" w:hAnsi="仿宋" w:eastAsia="仿宋" w:cs="仿宋"/>
          <w:b/>
          <w:color w:val="auto"/>
          <w:highlight w:val="none"/>
        </w:rPr>
      </w:pPr>
      <w:r>
        <w:rPr>
          <w:rFonts w:hint="eastAsia" w:ascii="仿宋" w:hAnsi="仿宋" w:eastAsia="仿宋" w:cs="仿宋"/>
          <w:b/>
          <w:color w:val="auto"/>
          <w:highlight w:val="none"/>
        </w:rPr>
        <w:t>残疾人福利性单位声明函</w:t>
      </w:r>
    </w:p>
    <w:p w14:paraId="31409965">
      <w:pPr>
        <w:pStyle w:val="40"/>
        <w:spacing w:line="46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【非残疾人福利性单位不用提供】</w:t>
      </w:r>
    </w:p>
    <w:p w14:paraId="6E791F16">
      <w:pPr>
        <w:pStyle w:val="40"/>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本单位郑重声明，根据《财政部民政部中国残疾人联合会关于促进残疾人就业政府采购政策的通知》(财库(2017) 141号)的规定。本单位为符合条件的残疾人福利性单位，且本单位参加 (采购人名称)单位的 (项目名称)项目采购活动提供本单位制造的货物(由本单位承担工程/提供服务)，成者提供其他残疾人福利性单位制造的货物(不包括使用非残疾人福利性单位往册商标的货物)。 </w:t>
      </w:r>
    </w:p>
    <w:p w14:paraId="7A353058">
      <w:pPr>
        <w:pStyle w:val="40"/>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本单位对上述声明的真实性负责，如有虚假，将依法承但相应责任。 </w:t>
      </w:r>
    </w:p>
    <w:p w14:paraId="16117AB9">
      <w:pPr>
        <w:pStyle w:val="40"/>
        <w:spacing w:line="460" w:lineRule="exact"/>
        <w:ind w:firstLine="480" w:firstLineChars="200"/>
        <w:rPr>
          <w:rFonts w:hint="eastAsia" w:ascii="仿宋" w:hAnsi="仿宋" w:eastAsia="仿宋" w:cs="仿宋"/>
          <w:color w:val="auto"/>
          <w:highlight w:val="none"/>
        </w:rPr>
      </w:pPr>
    </w:p>
    <w:p w14:paraId="1E3EDC9E">
      <w:pPr>
        <w:pStyle w:val="40"/>
        <w:spacing w:line="460" w:lineRule="exact"/>
        <w:ind w:firstLine="4800" w:firstLineChars="2000"/>
        <w:rPr>
          <w:rFonts w:hint="eastAsia" w:ascii="仿宋" w:hAnsi="仿宋" w:eastAsia="仿宋" w:cs="仿宋"/>
          <w:color w:val="auto"/>
          <w:highlight w:val="none"/>
        </w:rPr>
      </w:pPr>
      <w:r>
        <w:rPr>
          <w:rFonts w:hint="eastAsia" w:ascii="仿宋" w:hAnsi="仿宋" w:eastAsia="仿宋" w:cs="仿宋"/>
          <w:color w:val="auto"/>
          <w:highlight w:val="none"/>
        </w:rPr>
        <w:t xml:space="preserve">供应商名称(盖章)： </w:t>
      </w:r>
    </w:p>
    <w:p w14:paraId="61CDB513">
      <w:pPr>
        <w:pStyle w:val="40"/>
        <w:spacing w:line="460" w:lineRule="exact"/>
        <w:ind w:firstLine="4800" w:firstLineChars="2000"/>
        <w:rPr>
          <w:rFonts w:hint="eastAsia" w:ascii="仿宋" w:hAnsi="仿宋" w:eastAsia="仿宋" w:cs="仿宋"/>
          <w:color w:val="auto"/>
          <w:highlight w:val="none"/>
        </w:rPr>
      </w:pPr>
    </w:p>
    <w:p w14:paraId="232E6B8C">
      <w:pPr>
        <w:snapToGrid w:val="0"/>
        <w:spacing w:before="156" w:beforeLines="50" w:after="50" w:line="460" w:lineRule="exact"/>
        <w:ind w:firstLine="4800" w:firstLineChars="20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02908121">
      <w:pPr>
        <w:spacing w:line="400" w:lineRule="exact"/>
        <w:jc w:val="left"/>
        <w:rPr>
          <w:rFonts w:hint="eastAsia" w:ascii="仿宋" w:hAnsi="仿宋" w:eastAsia="仿宋" w:cs="仿宋"/>
          <w:b/>
          <w:bCs/>
          <w:color w:val="auto"/>
          <w:sz w:val="28"/>
          <w:szCs w:val="28"/>
          <w:highlight w:val="none"/>
        </w:rPr>
      </w:pPr>
    </w:p>
    <w:p w14:paraId="6D702F75">
      <w:pPr>
        <w:spacing w:line="400" w:lineRule="exact"/>
        <w:jc w:val="left"/>
        <w:rPr>
          <w:rFonts w:hint="eastAsia" w:ascii="仿宋" w:hAnsi="仿宋" w:eastAsia="仿宋" w:cs="仿宋"/>
          <w:b/>
          <w:bCs/>
          <w:color w:val="auto"/>
          <w:sz w:val="28"/>
          <w:szCs w:val="28"/>
          <w:highlight w:val="none"/>
        </w:rPr>
      </w:pPr>
    </w:p>
    <w:p w14:paraId="64923F42">
      <w:pPr>
        <w:spacing w:line="400" w:lineRule="exact"/>
        <w:jc w:val="left"/>
        <w:rPr>
          <w:rFonts w:hint="eastAsia" w:ascii="仿宋" w:hAnsi="仿宋" w:eastAsia="仿宋" w:cs="仿宋"/>
          <w:b/>
          <w:bCs/>
          <w:color w:val="auto"/>
          <w:sz w:val="28"/>
          <w:szCs w:val="28"/>
          <w:highlight w:val="none"/>
        </w:rPr>
      </w:pPr>
    </w:p>
    <w:p w14:paraId="6E941D4B">
      <w:pPr>
        <w:spacing w:line="400" w:lineRule="exact"/>
        <w:jc w:val="left"/>
        <w:rPr>
          <w:rFonts w:hint="eastAsia" w:ascii="仿宋" w:hAnsi="仿宋" w:eastAsia="仿宋" w:cs="仿宋"/>
          <w:b/>
          <w:bCs/>
          <w:color w:val="auto"/>
          <w:sz w:val="28"/>
          <w:szCs w:val="28"/>
          <w:highlight w:val="none"/>
        </w:rPr>
      </w:pPr>
    </w:p>
    <w:p w14:paraId="41C5A9DD">
      <w:pPr>
        <w:spacing w:line="400" w:lineRule="exact"/>
        <w:jc w:val="left"/>
        <w:rPr>
          <w:rFonts w:hint="eastAsia" w:ascii="仿宋" w:hAnsi="仿宋" w:eastAsia="仿宋" w:cs="仿宋"/>
          <w:b/>
          <w:bCs/>
          <w:color w:val="auto"/>
          <w:sz w:val="28"/>
          <w:szCs w:val="28"/>
          <w:highlight w:val="none"/>
        </w:rPr>
      </w:pPr>
    </w:p>
    <w:p w14:paraId="21A5F26A">
      <w:pPr>
        <w:spacing w:line="400" w:lineRule="exact"/>
        <w:jc w:val="left"/>
        <w:rPr>
          <w:rFonts w:hint="eastAsia" w:ascii="仿宋" w:hAnsi="仿宋" w:eastAsia="仿宋" w:cs="仿宋"/>
          <w:b/>
          <w:bCs/>
          <w:color w:val="auto"/>
          <w:sz w:val="28"/>
          <w:szCs w:val="28"/>
          <w:highlight w:val="none"/>
        </w:rPr>
      </w:pPr>
    </w:p>
    <w:p w14:paraId="3D23132C">
      <w:pPr>
        <w:spacing w:line="400" w:lineRule="exact"/>
        <w:jc w:val="left"/>
        <w:rPr>
          <w:rFonts w:hint="eastAsia" w:ascii="仿宋" w:hAnsi="仿宋" w:eastAsia="仿宋" w:cs="仿宋"/>
          <w:b/>
          <w:bCs/>
          <w:color w:val="auto"/>
          <w:sz w:val="28"/>
          <w:szCs w:val="28"/>
          <w:highlight w:val="none"/>
        </w:rPr>
      </w:pPr>
    </w:p>
    <w:p w14:paraId="65BAF5C6">
      <w:pPr>
        <w:spacing w:line="400" w:lineRule="exact"/>
        <w:jc w:val="left"/>
        <w:rPr>
          <w:rFonts w:hint="eastAsia" w:ascii="仿宋" w:hAnsi="仿宋" w:eastAsia="仿宋" w:cs="仿宋"/>
          <w:b/>
          <w:bCs/>
          <w:color w:val="auto"/>
          <w:sz w:val="28"/>
          <w:szCs w:val="28"/>
          <w:highlight w:val="none"/>
        </w:rPr>
      </w:pPr>
    </w:p>
    <w:p w14:paraId="053906D9">
      <w:pPr>
        <w:spacing w:line="400" w:lineRule="exact"/>
        <w:jc w:val="left"/>
        <w:rPr>
          <w:rFonts w:hint="eastAsia" w:ascii="仿宋" w:hAnsi="仿宋" w:eastAsia="仿宋" w:cs="仿宋"/>
          <w:b/>
          <w:bCs/>
          <w:color w:val="auto"/>
          <w:sz w:val="28"/>
          <w:szCs w:val="28"/>
          <w:highlight w:val="none"/>
        </w:rPr>
      </w:pPr>
    </w:p>
    <w:p w14:paraId="7224A3AC">
      <w:pPr>
        <w:spacing w:line="400" w:lineRule="exact"/>
        <w:jc w:val="left"/>
        <w:rPr>
          <w:rFonts w:hint="eastAsia" w:ascii="仿宋" w:hAnsi="仿宋" w:eastAsia="仿宋" w:cs="仿宋"/>
          <w:b/>
          <w:bCs/>
          <w:color w:val="auto"/>
          <w:sz w:val="28"/>
          <w:szCs w:val="28"/>
          <w:highlight w:val="none"/>
        </w:rPr>
      </w:pPr>
    </w:p>
    <w:p w14:paraId="031E9DD6">
      <w:pPr>
        <w:spacing w:line="400" w:lineRule="exact"/>
        <w:jc w:val="left"/>
        <w:rPr>
          <w:rFonts w:hint="eastAsia" w:ascii="仿宋" w:hAnsi="仿宋" w:eastAsia="仿宋" w:cs="仿宋"/>
          <w:b/>
          <w:bCs/>
          <w:color w:val="auto"/>
          <w:sz w:val="28"/>
          <w:szCs w:val="28"/>
          <w:highlight w:val="none"/>
        </w:rPr>
      </w:pPr>
    </w:p>
    <w:p w14:paraId="4A1E28CA">
      <w:pPr>
        <w:spacing w:line="400" w:lineRule="exact"/>
        <w:jc w:val="left"/>
        <w:rPr>
          <w:rFonts w:hint="eastAsia" w:ascii="仿宋" w:hAnsi="仿宋" w:eastAsia="仿宋" w:cs="仿宋"/>
          <w:b/>
          <w:bCs/>
          <w:color w:val="auto"/>
          <w:sz w:val="28"/>
          <w:szCs w:val="28"/>
          <w:highlight w:val="none"/>
        </w:rPr>
      </w:pPr>
    </w:p>
    <w:p w14:paraId="35078A7D">
      <w:pPr>
        <w:spacing w:line="400" w:lineRule="exact"/>
        <w:jc w:val="left"/>
        <w:rPr>
          <w:rFonts w:hint="eastAsia" w:ascii="仿宋" w:hAnsi="仿宋" w:eastAsia="仿宋" w:cs="仿宋"/>
          <w:b/>
          <w:bCs/>
          <w:color w:val="auto"/>
          <w:sz w:val="28"/>
          <w:szCs w:val="28"/>
          <w:highlight w:val="none"/>
        </w:rPr>
      </w:pPr>
    </w:p>
    <w:p w14:paraId="3092B6DA">
      <w:pPr>
        <w:spacing w:line="400" w:lineRule="exact"/>
        <w:jc w:val="left"/>
        <w:rPr>
          <w:rFonts w:hint="eastAsia" w:ascii="仿宋" w:hAnsi="仿宋" w:eastAsia="仿宋" w:cs="仿宋"/>
          <w:b/>
          <w:bCs/>
          <w:color w:val="auto"/>
          <w:sz w:val="28"/>
          <w:szCs w:val="28"/>
          <w:highlight w:val="none"/>
        </w:rPr>
      </w:pPr>
    </w:p>
    <w:p w14:paraId="4D8DD2BF">
      <w:pPr>
        <w:spacing w:line="400" w:lineRule="exact"/>
        <w:jc w:val="left"/>
        <w:rPr>
          <w:rFonts w:hint="eastAsia" w:ascii="仿宋" w:hAnsi="仿宋" w:eastAsia="仿宋" w:cs="仿宋"/>
          <w:b/>
          <w:bCs/>
          <w:color w:val="auto"/>
          <w:sz w:val="28"/>
          <w:szCs w:val="28"/>
          <w:highlight w:val="none"/>
        </w:rPr>
      </w:pPr>
    </w:p>
    <w:p w14:paraId="23D0FFC0">
      <w:pPr>
        <w:spacing w:line="400" w:lineRule="exact"/>
        <w:jc w:val="left"/>
        <w:rPr>
          <w:rFonts w:hint="eastAsia" w:ascii="仿宋" w:hAnsi="仿宋" w:eastAsia="仿宋" w:cs="仿宋"/>
          <w:b/>
          <w:bCs/>
          <w:color w:val="auto"/>
          <w:sz w:val="28"/>
          <w:szCs w:val="28"/>
          <w:highlight w:val="none"/>
        </w:rPr>
      </w:pPr>
    </w:p>
    <w:p w14:paraId="6E3C7C9A">
      <w:pPr>
        <w:spacing w:line="400" w:lineRule="exact"/>
        <w:jc w:val="left"/>
        <w:rPr>
          <w:rFonts w:hint="eastAsia" w:ascii="仿宋" w:hAnsi="仿宋" w:eastAsia="仿宋" w:cs="仿宋"/>
          <w:b/>
          <w:bCs/>
          <w:color w:val="auto"/>
          <w:sz w:val="28"/>
          <w:szCs w:val="28"/>
          <w:highlight w:val="none"/>
        </w:rPr>
      </w:pPr>
    </w:p>
    <w:p w14:paraId="4846C692">
      <w:pPr>
        <w:spacing w:line="400" w:lineRule="exact"/>
        <w:jc w:val="left"/>
        <w:rPr>
          <w:rFonts w:hint="eastAsia" w:ascii="仿宋" w:hAnsi="仿宋" w:eastAsia="仿宋" w:cs="仿宋"/>
          <w:b/>
          <w:bCs/>
          <w:color w:val="auto"/>
          <w:sz w:val="28"/>
          <w:szCs w:val="28"/>
          <w:highlight w:val="none"/>
        </w:rPr>
      </w:pPr>
    </w:p>
    <w:p w14:paraId="69295FCE">
      <w:pPr>
        <w:spacing w:line="400" w:lineRule="exact"/>
        <w:jc w:val="left"/>
        <w:rPr>
          <w:rFonts w:hint="eastAsia" w:ascii="仿宋" w:hAnsi="仿宋" w:eastAsia="仿宋" w:cs="仿宋"/>
          <w:b/>
          <w:bCs/>
          <w:color w:val="auto"/>
          <w:sz w:val="28"/>
          <w:szCs w:val="28"/>
          <w:highlight w:val="none"/>
        </w:rPr>
      </w:pPr>
    </w:p>
    <w:p w14:paraId="4DA65B36">
      <w:pPr>
        <w:rPr>
          <w:rFonts w:hint="eastAsia" w:ascii="仿宋" w:hAnsi="仿宋" w:eastAsia="仿宋" w:cs="仿宋"/>
          <w:color w:val="auto"/>
          <w:highlight w:val="none"/>
        </w:rPr>
      </w:pPr>
    </w:p>
    <w:p w14:paraId="4A60E014">
      <w:pPr>
        <w:autoSpaceDE w:val="0"/>
        <w:autoSpaceDN w:val="0"/>
        <w:adjustRightInd w:val="0"/>
        <w:snapToGrid w:val="0"/>
        <w:spacing w:line="360" w:lineRule="auto"/>
        <w:ind w:firstLine="888" w:firstLineChars="201"/>
        <w:jc w:val="center"/>
        <w:textAlignment w:val="bottom"/>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目  录</w:t>
      </w:r>
    </w:p>
    <w:p w14:paraId="3A5016B6">
      <w:pPr>
        <w:spacing w:line="360" w:lineRule="auto"/>
        <w:ind w:firstLine="482" w:firstLineChars="200"/>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2、 技术商务文件 </w:t>
      </w:r>
    </w:p>
    <w:p w14:paraId="019A7CE4">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b w:val="0"/>
          <w:bCs w:val="0"/>
          <w:color w:val="auto"/>
          <w:kern w:val="0"/>
          <w:sz w:val="24"/>
          <w:szCs w:val="24"/>
          <w:highlight w:val="none"/>
          <w:lang w:eastAsia="zh-CN"/>
        </w:rPr>
      </w:pPr>
      <w:r>
        <w:rPr>
          <w:rFonts w:hint="eastAsia" w:ascii="仿宋" w:hAnsi="仿宋" w:eastAsia="仿宋" w:cs="仿宋"/>
          <w:b w:val="0"/>
          <w:bCs w:val="0"/>
          <w:color w:val="auto"/>
          <w:kern w:val="0"/>
          <w:sz w:val="24"/>
          <w:szCs w:val="24"/>
          <w:highlight w:val="none"/>
          <w:lang w:val="en-US" w:eastAsia="zh-CN"/>
        </w:rPr>
        <w:t>1）</w:t>
      </w:r>
      <w:r>
        <w:rPr>
          <w:rFonts w:hint="eastAsia" w:ascii="仿宋" w:hAnsi="仿宋" w:eastAsia="仿宋" w:cs="仿宋"/>
          <w:b w:val="0"/>
          <w:bCs w:val="0"/>
          <w:color w:val="auto"/>
          <w:kern w:val="0"/>
          <w:sz w:val="24"/>
          <w:szCs w:val="24"/>
          <w:highlight w:val="none"/>
        </w:rPr>
        <w:t>供应商自评分索引表</w:t>
      </w:r>
      <w:r>
        <w:rPr>
          <w:rFonts w:hint="eastAsia" w:ascii="仿宋" w:hAnsi="仿宋" w:eastAsia="仿宋" w:cs="仿宋"/>
          <w:b w:val="0"/>
          <w:bCs w:val="0"/>
          <w:color w:val="auto"/>
          <w:kern w:val="0"/>
          <w:sz w:val="24"/>
          <w:szCs w:val="24"/>
          <w:highlight w:val="none"/>
          <w:lang w:eastAsia="zh-CN"/>
        </w:rPr>
        <w:t>；</w:t>
      </w:r>
    </w:p>
    <w:p w14:paraId="73D0D4B4">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2）</w:t>
      </w:r>
      <w:r>
        <w:rPr>
          <w:rFonts w:hint="eastAsia" w:ascii="仿宋" w:hAnsi="仿宋" w:eastAsia="仿宋" w:cs="仿宋"/>
          <w:bCs/>
          <w:color w:val="auto"/>
          <w:sz w:val="24"/>
          <w:highlight w:val="none"/>
        </w:rPr>
        <w:t>供应商情况一览表；</w:t>
      </w:r>
    </w:p>
    <w:p w14:paraId="0CEC694B">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3）项目总体理解；</w:t>
      </w:r>
    </w:p>
    <w:p w14:paraId="122445CE">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4）项目实施方案；</w:t>
      </w:r>
    </w:p>
    <w:p w14:paraId="78B4C13D">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5）服务保障措施；</w:t>
      </w:r>
    </w:p>
    <w:p w14:paraId="018D3D6A">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6）项目管理制度建设;</w:t>
      </w:r>
    </w:p>
    <w:p w14:paraId="3A4504D2">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7）人员培训；</w:t>
      </w:r>
    </w:p>
    <w:p w14:paraId="28C80382">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8）合理化建议;</w:t>
      </w:r>
    </w:p>
    <w:p w14:paraId="2A000430">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i w:val="0"/>
          <w:iCs w:val="0"/>
          <w:color w:val="auto"/>
          <w:kern w:val="0"/>
          <w:sz w:val="24"/>
          <w:szCs w:val="24"/>
          <w:highlight w:val="none"/>
          <w:u w:val="none"/>
          <w:lang w:val="en-US" w:eastAsia="zh-CN" w:bidi="ar"/>
        </w:rPr>
        <w:t>9）</w:t>
      </w:r>
      <w:r>
        <w:rPr>
          <w:rFonts w:hint="eastAsia" w:ascii="仿宋" w:hAnsi="仿宋" w:eastAsia="仿宋" w:cs="仿宋"/>
          <w:bCs/>
          <w:color w:val="auto"/>
          <w:sz w:val="24"/>
          <w:highlight w:val="none"/>
        </w:rPr>
        <w:t>商务响应表；</w:t>
      </w:r>
    </w:p>
    <w:p w14:paraId="0EC7D9E9">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10）</w:t>
      </w:r>
      <w:r>
        <w:rPr>
          <w:rFonts w:hint="eastAsia" w:ascii="仿宋" w:hAnsi="仿宋" w:eastAsia="仿宋" w:cs="仿宋"/>
          <w:color w:val="auto"/>
          <w:sz w:val="24"/>
          <w:szCs w:val="24"/>
          <w:highlight w:val="none"/>
          <w:lang w:val="en-US" w:eastAsia="zh-CN"/>
        </w:rPr>
        <w:t>企业业绩</w:t>
      </w:r>
      <w:r>
        <w:rPr>
          <w:rFonts w:hint="eastAsia" w:ascii="仿宋" w:hAnsi="仿宋" w:eastAsia="仿宋" w:cs="仿宋"/>
          <w:bCs/>
          <w:color w:val="auto"/>
          <w:sz w:val="24"/>
          <w:highlight w:val="none"/>
        </w:rPr>
        <w:t>；</w:t>
      </w:r>
    </w:p>
    <w:p w14:paraId="2C003329">
      <w:pPr>
        <w:numPr>
          <w:ilvl w:val="255"/>
          <w:numId w:val="0"/>
        </w:numPr>
        <w:tabs>
          <w:tab w:val="left" w:pos="420"/>
        </w:tabs>
        <w:autoSpaceDE/>
        <w:autoSpaceDN/>
        <w:snapToGrid/>
        <w:spacing w:line="360" w:lineRule="auto"/>
        <w:ind w:left="0"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11）企业</w:t>
      </w:r>
      <w:r>
        <w:rPr>
          <w:rFonts w:hint="eastAsia" w:ascii="仿宋" w:hAnsi="仿宋" w:eastAsia="仿宋" w:cs="仿宋"/>
          <w:i w:val="0"/>
          <w:iCs w:val="0"/>
          <w:color w:val="auto"/>
          <w:kern w:val="0"/>
          <w:sz w:val="24"/>
          <w:szCs w:val="24"/>
          <w:highlight w:val="none"/>
          <w:u w:val="none"/>
          <w:lang w:val="en-US" w:eastAsia="zh-CN" w:bidi="ar"/>
        </w:rPr>
        <w:t>认证</w:t>
      </w:r>
      <w:r>
        <w:rPr>
          <w:rFonts w:hint="eastAsia" w:ascii="仿宋" w:hAnsi="仿宋" w:eastAsia="仿宋" w:cs="仿宋"/>
          <w:bCs/>
          <w:color w:val="auto"/>
          <w:sz w:val="24"/>
          <w:highlight w:val="none"/>
        </w:rPr>
        <w:t>；</w:t>
      </w:r>
    </w:p>
    <w:p w14:paraId="717FEBC2">
      <w:pPr>
        <w:numPr>
          <w:ilvl w:val="255"/>
          <w:numId w:val="0"/>
        </w:numPr>
        <w:tabs>
          <w:tab w:val="left" w:pos="420"/>
        </w:tabs>
        <w:autoSpaceDE/>
        <w:autoSpaceDN/>
        <w:adjustRightInd/>
        <w:snapToGrid/>
        <w:spacing w:line="360" w:lineRule="auto"/>
        <w:ind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12）</w:t>
      </w:r>
      <w:r>
        <w:rPr>
          <w:rFonts w:hint="eastAsia" w:ascii="仿宋" w:hAnsi="仿宋" w:eastAsia="仿宋" w:cs="仿宋"/>
          <w:i w:val="0"/>
          <w:iCs w:val="0"/>
          <w:color w:val="auto"/>
          <w:kern w:val="0"/>
          <w:sz w:val="24"/>
          <w:szCs w:val="24"/>
          <w:highlight w:val="none"/>
          <w:u w:val="none"/>
          <w:lang w:val="en-US" w:eastAsia="zh-CN" w:bidi="ar"/>
        </w:rPr>
        <w:t>人员配置</w:t>
      </w:r>
      <w:r>
        <w:rPr>
          <w:rFonts w:hint="eastAsia" w:ascii="仿宋" w:hAnsi="仿宋" w:eastAsia="仿宋" w:cs="仿宋"/>
          <w:bCs/>
          <w:color w:val="auto"/>
          <w:sz w:val="24"/>
          <w:highlight w:val="none"/>
        </w:rPr>
        <w:t>；</w:t>
      </w:r>
    </w:p>
    <w:p w14:paraId="7F0420B1">
      <w:pPr>
        <w:numPr>
          <w:ilvl w:val="255"/>
          <w:numId w:val="0"/>
        </w:numPr>
        <w:tabs>
          <w:tab w:val="left" w:pos="420"/>
        </w:tabs>
        <w:autoSpaceDE/>
        <w:autoSpaceDN/>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bCs/>
          <w:color w:val="auto"/>
          <w:sz w:val="24"/>
          <w:highlight w:val="none"/>
          <w:lang w:val="en-US" w:eastAsia="zh-CN"/>
        </w:rPr>
        <w:t>13）</w:t>
      </w:r>
      <w:r>
        <w:rPr>
          <w:rFonts w:hint="eastAsia" w:ascii="仿宋" w:hAnsi="仿宋" w:eastAsia="仿宋" w:cs="仿宋"/>
          <w:i w:val="0"/>
          <w:iCs w:val="0"/>
          <w:color w:val="auto"/>
          <w:kern w:val="0"/>
          <w:sz w:val="24"/>
          <w:szCs w:val="24"/>
          <w:highlight w:val="none"/>
          <w:u w:val="none"/>
          <w:lang w:val="en-US" w:eastAsia="zh-CN" w:bidi="ar"/>
        </w:rPr>
        <w:t>供应商认为应该说明的其他文件和资料。</w:t>
      </w:r>
    </w:p>
    <w:p w14:paraId="1A25F1F9">
      <w:pPr>
        <w:spacing w:line="360" w:lineRule="auto"/>
        <w:ind w:firstLine="482" w:firstLineChars="200"/>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3</w:t>
      </w:r>
      <w:r>
        <w:rPr>
          <w:rFonts w:hint="eastAsia" w:ascii="仿宋" w:hAnsi="仿宋" w:eastAsia="仿宋" w:cs="仿宋"/>
          <w:b/>
          <w:color w:val="auto"/>
          <w:sz w:val="24"/>
          <w:highlight w:val="none"/>
        </w:rPr>
        <w:t>、 报价文件</w:t>
      </w:r>
    </w:p>
    <w:p w14:paraId="09F6F7C7">
      <w:pPr>
        <w:numPr>
          <w:ilvl w:val="0"/>
          <w:numId w:val="0"/>
        </w:numPr>
        <w:autoSpaceDE w:val="0"/>
        <w:autoSpaceDN w:val="0"/>
        <w:snapToGrid w:val="0"/>
        <w:spacing w:line="360" w:lineRule="auto"/>
        <w:ind w:left="845" w:hanging="425"/>
        <w:textAlignment w:val="bottom"/>
        <w:rPr>
          <w:rFonts w:hint="eastAsia" w:ascii="仿宋" w:hAnsi="仿宋" w:eastAsia="仿宋" w:cs="仿宋"/>
          <w:bCs/>
          <w:color w:val="auto"/>
          <w:sz w:val="24"/>
          <w:highlight w:val="none"/>
        </w:rPr>
      </w:pPr>
      <w:r>
        <w:rPr>
          <w:rFonts w:hint="default" w:ascii="仿宋" w:hAnsi="仿宋" w:eastAsia="仿宋" w:cs="仿宋"/>
          <w:bCs/>
          <w:color w:val="auto"/>
          <w:kern w:val="2"/>
          <w:sz w:val="24"/>
          <w:szCs w:val="24"/>
          <w:highlight w:val="none"/>
          <w:lang w:val="en-US" w:eastAsia="zh-CN" w:bidi="ar-SA"/>
        </w:rPr>
        <w:t>1)</w:t>
      </w:r>
      <w:r>
        <w:rPr>
          <w:rFonts w:hint="eastAsia" w:ascii="仿宋" w:hAnsi="仿宋" w:eastAsia="仿宋" w:cs="仿宋"/>
          <w:bCs/>
          <w:color w:val="auto"/>
          <w:sz w:val="24"/>
          <w:highlight w:val="none"/>
        </w:rPr>
        <w:t>磋商申请函；</w:t>
      </w:r>
    </w:p>
    <w:p w14:paraId="0D7D5A40">
      <w:pPr>
        <w:numPr>
          <w:ilvl w:val="0"/>
          <w:numId w:val="0"/>
        </w:numPr>
        <w:snapToGrid w:val="0"/>
        <w:spacing w:line="360" w:lineRule="auto"/>
        <w:ind w:left="845" w:hanging="425"/>
        <w:textAlignment w:val="bottom"/>
        <w:rPr>
          <w:rFonts w:hint="eastAsia" w:ascii="仿宋" w:hAnsi="仿宋" w:eastAsia="仿宋" w:cs="仿宋"/>
          <w:bCs/>
          <w:color w:val="auto"/>
          <w:sz w:val="24"/>
          <w:highlight w:val="none"/>
        </w:rPr>
      </w:pPr>
      <w:r>
        <w:rPr>
          <w:rFonts w:hint="default" w:ascii="仿宋" w:hAnsi="仿宋" w:eastAsia="仿宋" w:cs="仿宋"/>
          <w:bCs/>
          <w:color w:val="auto"/>
          <w:kern w:val="2"/>
          <w:sz w:val="24"/>
          <w:szCs w:val="24"/>
          <w:highlight w:val="none"/>
          <w:lang w:val="en-US" w:eastAsia="zh-CN" w:bidi="ar-SA"/>
        </w:rPr>
        <w:t>2)</w:t>
      </w:r>
      <w:r>
        <w:rPr>
          <w:rFonts w:hint="eastAsia" w:ascii="仿宋" w:hAnsi="仿宋" w:eastAsia="仿宋" w:cs="仿宋"/>
          <w:bCs/>
          <w:color w:val="auto"/>
          <w:sz w:val="24"/>
          <w:highlight w:val="none"/>
          <w:lang w:val="en-US" w:eastAsia="zh-CN"/>
        </w:rPr>
        <w:t>首</w:t>
      </w:r>
      <w:r>
        <w:rPr>
          <w:rFonts w:hint="eastAsia" w:ascii="仿宋" w:hAnsi="仿宋" w:eastAsia="仿宋" w:cs="仿宋"/>
          <w:bCs/>
          <w:color w:val="auto"/>
          <w:sz w:val="24"/>
          <w:highlight w:val="none"/>
        </w:rPr>
        <w:t>次报价表；</w:t>
      </w:r>
    </w:p>
    <w:p w14:paraId="6ED8AE88">
      <w:pPr>
        <w:numPr>
          <w:ilvl w:val="0"/>
          <w:numId w:val="0"/>
        </w:numPr>
        <w:autoSpaceDE w:val="0"/>
        <w:autoSpaceDN w:val="0"/>
        <w:snapToGrid w:val="0"/>
        <w:spacing w:line="360" w:lineRule="auto"/>
        <w:ind w:left="845" w:hanging="425"/>
        <w:textAlignment w:val="bottom"/>
        <w:rPr>
          <w:rFonts w:hint="eastAsia" w:ascii="仿宋" w:hAnsi="仿宋" w:eastAsia="仿宋" w:cs="仿宋"/>
          <w:bCs/>
          <w:color w:val="auto"/>
          <w:sz w:val="24"/>
          <w:highlight w:val="none"/>
          <w:lang w:eastAsia="zh-CN"/>
        </w:rPr>
      </w:pPr>
      <w:r>
        <w:rPr>
          <w:rFonts w:hint="eastAsia" w:ascii="仿宋" w:hAnsi="仿宋" w:eastAsia="仿宋" w:cs="仿宋"/>
          <w:b w:val="0"/>
          <w:bCs/>
          <w:color w:val="auto"/>
          <w:sz w:val="24"/>
          <w:szCs w:val="24"/>
          <w:highlight w:val="none"/>
          <w:lang w:val="en-US" w:eastAsia="zh-CN"/>
        </w:rPr>
        <w:t>3）</w:t>
      </w:r>
      <w:r>
        <w:rPr>
          <w:rFonts w:hint="eastAsia" w:ascii="仿宋" w:hAnsi="仿宋" w:eastAsia="仿宋" w:cs="仿宋"/>
          <w:b w:val="0"/>
          <w:bCs/>
          <w:color w:val="auto"/>
          <w:sz w:val="24"/>
          <w:szCs w:val="24"/>
          <w:highlight w:val="none"/>
        </w:rPr>
        <w:t>磋商代理服务费承诺函</w:t>
      </w:r>
      <w:r>
        <w:rPr>
          <w:rFonts w:hint="eastAsia" w:ascii="仿宋" w:hAnsi="仿宋" w:eastAsia="仿宋" w:cs="仿宋"/>
          <w:bCs/>
          <w:color w:val="auto"/>
          <w:sz w:val="24"/>
          <w:highlight w:val="none"/>
          <w:lang w:eastAsia="zh-CN"/>
        </w:rPr>
        <w:t>；</w:t>
      </w:r>
    </w:p>
    <w:p w14:paraId="2AAF6D0C">
      <w:pPr>
        <w:numPr>
          <w:ilvl w:val="0"/>
          <w:numId w:val="0"/>
        </w:numPr>
        <w:autoSpaceDE w:val="0"/>
        <w:autoSpaceDN w:val="0"/>
        <w:snapToGrid w:val="0"/>
        <w:spacing w:line="360" w:lineRule="auto"/>
        <w:ind w:left="845" w:hanging="425"/>
        <w:textAlignment w:val="bottom"/>
        <w:rPr>
          <w:rFonts w:hint="eastAsia" w:ascii="仿宋" w:hAnsi="仿宋" w:eastAsia="仿宋" w:cs="仿宋"/>
          <w:color w:val="auto"/>
          <w:sz w:val="24"/>
          <w:highlight w:val="none"/>
        </w:rPr>
      </w:pPr>
      <w:r>
        <w:rPr>
          <w:rFonts w:hint="eastAsia" w:ascii="仿宋" w:hAnsi="仿宋" w:eastAsia="仿宋" w:cs="仿宋"/>
          <w:color w:val="auto"/>
          <w:kern w:val="2"/>
          <w:sz w:val="24"/>
          <w:szCs w:val="24"/>
          <w:highlight w:val="none"/>
          <w:lang w:val="en-US" w:eastAsia="zh-CN" w:bidi="ar-SA"/>
        </w:rPr>
        <w:t>4）</w:t>
      </w:r>
      <w:r>
        <w:rPr>
          <w:rFonts w:hint="eastAsia" w:ascii="仿宋" w:hAnsi="仿宋" w:eastAsia="仿宋" w:cs="仿宋"/>
          <w:color w:val="auto"/>
          <w:sz w:val="24"/>
          <w:highlight w:val="none"/>
        </w:rPr>
        <w:t>供应商认为应该说明的其他文件和资料。</w:t>
      </w:r>
    </w:p>
    <w:p w14:paraId="1DF09301">
      <w:pPr>
        <w:pStyle w:val="43"/>
        <w:ind w:firstLine="0" w:firstLineChars="0"/>
        <w:rPr>
          <w:rFonts w:hint="eastAsia" w:ascii="仿宋" w:hAnsi="仿宋" w:eastAsia="仿宋" w:cs="仿宋"/>
          <w:bCs/>
          <w:color w:val="auto"/>
          <w:sz w:val="24"/>
          <w:highlight w:val="none"/>
        </w:rPr>
      </w:pPr>
    </w:p>
    <w:p w14:paraId="544F9BF2">
      <w:pPr>
        <w:spacing w:line="400" w:lineRule="exact"/>
        <w:ind w:firstLine="482" w:firstLineChars="200"/>
        <w:jc w:val="left"/>
        <w:rPr>
          <w:rFonts w:hint="eastAsia" w:ascii="仿宋" w:hAnsi="仿宋" w:eastAsia="仿宋" w:cs="仿宋"/>
          <w:color w:val="auto"/>
          <w:sz w:val="28"/>
          <w:szCs w:val="28"/>
          <w:highlight w:val="none"/>
        </w:rPr>
      </w:pPr>
      <w:r>
        <w:rPr>
          <w:rFonts w:hint="eastAsia" w:ascii="仿宋" w:hAnsi="仿宋" w:eastAsia="仿宋" w:cs="仿宋"/>
          <w:b/>
          <w:color w:val="auto"/>
          <w:sz w:val="24"/>
          <w:highlight w:val="none"/>
        </w:rPr>
        <w:t>以上响应文件组成内容中的扫描件均须加盖供应商公章（</w:t>
      </w:r>
      <w:r>
        <w:rPr>
          <w:rFonts w:hint="eastAsia" w:ascii="仿宋" w:hAnsi="仿宋" w:eastAsia="仿宋" w:cs="仿宋"/>
          <w:b/>
          <w:color w:val="auto"/>
          <w:spacing w:val="-32"/>
          <w:sz w:val="24"/>
          <w:highlight w:val="none"/>
        </w:rPr>
        <w:t xml:space="preserve">或 </w:t>
      </w:r>
      <w:r>
        <w:rPr>
          <w:rFonts w:hint="eastAsia" w:ascii="仿宋" w:hAnsi="仿宋" w:eastAsia="仿宋" w:cs="仿宋"/>
          <w:b/>
          <w:color w:val="auto"/>
          <w:sz w:val="24"/>
          <w:highlight w:val="none"/>
        </w:rPr>
        <w:t>CA</w:t>
      </w:r>
      <w:r>
        <w:rPr>
          <w:rFonts w:hint="eastAsia" w:ascii="仿宋" w:hAnsi="仿宋" w:eastAsia="仿宋" w:cs="仿宋"/>
          <w:b/>
          <w:color w:val="auto"/>
          <w:spacing w:val="-14"/>
          <w:sz w:val="24"/>
          <w:highlight w:val="none"/>
        </w:rPr>
        <w:t xml:space="preserve"> 电子签章</w:t>
      </w:r>
      <w:r>
        <w:rPr>
          <w:rFonts w:hint="eastAsia" w:ascii="仿宋" w:hAnsi="仿宋" w:eastAsia="仿宋" w:cs="仿宋"/>
          <w:b/>
          <w:color w:val="auto"/>
          <w:sz w:val="24"/>
          <w:highlight w:val="none"/>
        </w:rPr>
        <w:t>）。</w:t>
      </w:r>
    </w:p>
    <w:p w14:paraId="18D08A70">
      <w:pPr>
        <w:spacing w:line="400" w:lineRule="exact"/>
        <w:jc w:val="left"/>
        <w:rPr>
          <w:rFonts w:hint="eastAsia" w:ascii="仿宋" w:hAnsi="仿宋" w:eastAsia="仿宋" w:cs="仿宋"/>
          <w:color w:val="auto"/>
          <w:sz w:val="28"/>
          <w:szCs w:val="28"/>
          <w:highlight w:val="none"/>
        </w:rPr>
      </w:pPr>
    </w:p>
    <w:p w14:paraId="1F751295">
      <w:pPr>
        <w:spacing w:line="400" w:lineRule="exact"/>
        <w:jc w:val="left"/>
        <w:rPr>
          <w:rFonts w:hint="eastAsia" w:ascii="仿宋" w:hAnsi="仿宋" w:eastAsia="仿宋" w:cs="仿宋"/>
          <w:b/>
          <w:bCs/>
          <w:color w:val="auto"/>
          <w:sz w:val="28"/>
          <w:szCs w:val="28"/>
          <w:highlight w:val="none"/>
        </w:rPr>
      </w:pPr>
    </w:p>
    <w:p w14:paraId="1D06B420">
      <w:pPr>
        <w:pStyle w:val="40"/>
        <w:rPr>
          <w:rFonts w:hint="eastAsia" w:ascii="仿宋" w:hAnsi="仿宋" w:eastAsia="仿宋" w:cs="仿宋"/>
          <w:b/>
          <w:bCs/>
          <w:color w:val="auto"/>
          <w:sz w:val="28"/>
          <w:szCs w:val="28"/>
          <w:highlight w:val="none"/>
        </w:rPr>
      </w:pPr>
    </w:p>
    <w:p w14:paraId="77050EB6">
      <w:pPr>
        <w:pStyle w:val="40"/>
        <w:rPr>
          <w:rFonts w:hint="eastAsia" w:ascii="仿宋" w:hAnsi="仿宋" w:eastAsia="仿宋" w:cs="仿宋"/>
          <w:b/>
          <w:bCs/>
          <w:color w:val="auto"/>
          <w:sz w:val="28"/>
          <w:szCs w:val="28"/>
          <w:highlight w:val="none"/>
        </w:rPr>
      </w:pPr>
    </w:p>
    <w:p w14:paraId="69655EE4">
      <w:pPr>
        <w:pStyle w:val="40"/>
        <w:rPr>
          <w:rFonts w:hint="eastAsia" w:ascii="仿宋" w:hAnsi="仿宋" w:eastAsia="仿宋" w:cs="仿宋"/>
          <w:b/>
          <w:bCs/>
          <w:color w:val="auto"/>
          <w:sz w:val="28"/>
          <w:szCs w:val="28"/>
          <w:highlight w:val="none"/>
        </w:rPr>
      </w:pPr>
    </w:p>
    <w:p w14:paraId="2F8A601A">
      <w:pPr>
        <w:pStyle w:val="40"/>
        <w:rPr>
          <w:rFonts w:hint="eastAsia" w:ascii="仿宋" w:hAnsi="仿宋" w:eastAsia="仿宋" w:cs="仿宋"/>
          <w:b/>
          <w:bCs/>
          <w:color w:val="auto"/>
          <w:sz w:val="28"/>
          <w:szCs w:val="28"/>
          <w:highlight w:val="none"/>
        </w:rPr>
      </w:pPr>
    </w:p>
    <w:p w14:paraId="04B20378">
      <w:pPr>
        <w:pStyle w:val="40"/>
        <w:rPr>
          <w:rFonts w:hint="eastAsia" w:ascii="仿宋" w:hAnsi="仿宋" w:eastAsia="仿宋" w:cs="仿宋"/>
          <w:b/>
          <w:bCs/>
          <w:color w:val="auto"/>
          <w:sz w:val="28"/>
          <w:szCs w:val="28"/>
          <w:highlight w:val="none"/>
        </w:rPr>
      </w:pPr>
    </w:p>
    <w:p w14:paraId="370890AE">
      <w:pPr>
        <w:snapToGrid w:val="0"/>
        <w:spacing w:before="50" w:after="50"/>
        <w:jc w:val="left"/>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1</w:t>
      </w:r>
      <w:r>
        <w:rPr>
          <w:rFonts w:hint="eastAsia" w:ascii="仿宋" w:hAnsi="仿宋" w:eastAsia="仿宋" w:cs="仿宋"/>
          <w:b/>
          <w:bCs/>
          <w:color w:val="auto"/>
          <w:sz w:val="28"/>
          <w:szCs w:val="28"/>
          <w:highlight w:val="none"/>
        </w:rPr>
        <w:t>、供应商自评分索引表</w:t>
      </w:r>
    </w:p>
    <w:p w14:paraId="7D5B6A25">
      <w:pPr>
        <w:snapToGrid w:val="0"/>
        <w:spacing w:before="50" w:after="50"/>
        <w:jc w:val="center"/>
        <w:outlineLvl w:val="9"/>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供应商自评分索引表</w:t>
      </w:r>
    </w:p>
    <w:p w14:paraId="1639B975">
      <w:pPr>
        <w:snapToGrid w:val="0"/>
        <w:spacing w:before="50"/>
        <w:jc w:val="center"/>
        <w:rPr>
          <w:rFonts w:ascii="仿宋" w:hAnsi="仿宋" w:eastAsia="仿宋" w:cs="仿宋"/>
          <w:b/>
          <w:color w:val="auto"/>
          <w:szCs w:val="28"/>
          <w:highlight w:val="none"/>
        </w:rPr>
      </w:pPr>
    </w:p>
    <w:p w14:paraId="3E66C214">
      <w:pPr>
        <w:pStyle w:val="8"/>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供应商全称（加盖公章）：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4A645F11">
      <w:pPr>
        <w:spacing w:line="460" w:lineRule="exact"/>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highlight w:val="none"/>
        </w:rPr>
        <w:t>项目名称：</w:t>
      </w:r>
      <w:r>
        <w:rPr>
          <w:rFonts w:hint="eastAsia" w:ascii="仿宋" w:hAnsi="仿宋" w:eastAsia="仿宋" w:cs="仿宋"/>
          <w:color w:val="auto"/>
          <w:sz w:val="24"/>
          <w:szCs w:val="24"/>
          <w:highlight w:val="none"/>
        </w:rPr>
        <w:t xml:space="preserve">     </w:t>
      </w:r>
    </w:p>
    <w:tbl>
      <w:tblPr>
        <w:tblStyle w:val="33"/>
        <w:tblW w:w="89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43"/>
        <w:gridCol w:w="2552"/>
        <w:gridCol w:w="1134"/>
        <w:gridCol w:w="1983"/>
      </w:tblGrid>
      <w:tr w14:paraId="412672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7B656C4">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评分项目</w:t>
            </w:r>
          </w:p>
        </w:tc>
        <w:tc>
          <w:tcPr>
            <w:tcW w:w="2552" w:type="dxa"/>
            <w:tcBorders>
              <w:top w:val="single" w:color="auto" w:sz="4" w:space="0"/>
              <w:left w:val="single" w:color="auto" w:sz="4" w:space="0"/>
              <w:bottom w:val="single" w:color="auto" w:sz="4" w:space="0"/>
              <w:right w:val="single" w:color="auto" w:sz="4" w:space="0"/>
            </w:tcBorders>
            <w:noWrap/>
            <w:vAlign w:val="center"/>
          </w:tcPr>
          <w:p w14:paraId="11EB5ADA">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响应文件对应资料</w:t>
            </w:r>
          </w:p>
        </w:tc>
        <w:tc>
          <w:tcPr>
            <w:tcW w:w="1134" w:type="dxa"/>
            <w:tcBorders>
              <w:top w:val="single" w:color="auto" w:sz="4" w:space="0"/>
              <w:left w:val="single" w:color="auto" w:sz="4" w:space="0"/>
              <w:bottom w:val="single" w:color="auto" w:sz="4" w:space="0"/>
              <w:right w:val="single" w:color="auto" w:sz="4" w:space="0"/>
            </w:tcBorders>
            <w:noWrap/>
            <w:vAlign w:val="center"/>
          </w:tcPr>
          <w:p w14:paraId="29689EAF">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自评分</w:t>
            </w:r>
          </w:p>
        </w:tc>
        <w:tc>
          <w:tcPr>
            <w:tcW w:w="1983" w:type="dxa"/>
            <w:tcBorders>
              <w:top w:val="single" w:color="auto" w:sz="4" w:space="0"/>
              <w:left w:val="single" w:color="auto" w:sz="4" w:space="0"/>
              <w:bottom w:val="single" w:color="auto" w:sz="4" w:space="0"/>
              <w:right w:val="single" w:color="auto" w:sz="4" w:space="0"/>
            </w:tcBorders>
            <w:noWrap/>
            <w:vAlign w:val="center"/>
          </w:tcPr>
          <w:p w14:paraId="6DAE6B7D">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响应文件页码</w:t>
            </w:r>
          </w:p>
        </w:tc>
      </w:tr>
      <w:tr w14:paraId="2FA3AF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1A451E28">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对应第</w:t>
            </w:r>
            <w:r>
              <w:rPr>
                <w:rFonts w:hint="eastAsia" w:ascii="仿宋" w:hAnsi="仿宋" w:eastAsia="仿宋" w:cs="仿宋"/>
                <w:color w:val="auto"/>
                <w:sz w:val="24"/>
                <w:highlight w:val="none"/>
                <w:lang w:val="en-US" w:eastAsia="zh-CN"/>
              </w:rPr>
              <w:t>四</w:t>
            </w:r>
            <w:r>
              <w:rPr>
                <w:rFonts w:hint="eastAsia" w:ascii="仿宋" w:hAnsi="仿宋" w:eastAsia="仿宋" w:cs="仿宋"/>
                <w:color w:val="auto"/>
                <w:sz w:val="24"/>
                <w:highlight w:val="none"/>
              </w:rPr>
              <w:t>章</w:t>
            </w:r>
            <w:r>
              <w:rPr>
                <w:rFonts w:hint="eastAsia" w:ascii="仿宋" w:hAnsi="仿宋" w:eastAsia="仿宋" w:cs="仿宋"/>
                <w:color w:val="auto"/>
                <w:sz w:val="24"/>
                <w:highlight w:val="none"/>
                <w:lang w:val="en-US" w:eastAsia="zh-CN"/>
              </w:rPr>
              <w:t>磋商原则和程序</w:t>
            </w:r>
            <w:r>
              <w:rPr>
                <w:rFonts w:hint="eastAsia" w:ascii="仿宋" w:hAnsi="仿宋" w:eastAsia="仿宋" w:cs="仿宋"/>
                <w:color w:val="auto"/>
                <w:sz w:val="24"/>
                <w:highlight w:val="none"/>
              </w:rPr>
              <w:t>（报价除外）</w:t>
            </w:r>
          </w:p>
        </w:tc>
        <w:tc>
          <w:tcPr>
            <w:tcW w:w="2552" w:type="dxa"/>
            <w:tcBorders>
              <w:top w:val="single" w:color="auto" w:sz="4" w:space="0"/>
              <w:left w:val="single" w:color="auto" w:sz="4" w:space="0"/>
              <w:bottom w:val="single" w:color="auto" w:sz="4" w:space="0"/>
              <w:right w:val="single" w:color="auto" w:sz="4" w:space="0"/>
            </w:tcBorders>
            <w:noWrap/>
            <w:vAlign w:val="center"/>
          </w:tcPr>
          <w:p w14:paraId="38F43440">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94525CB">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534129B">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14:paraId="4E34D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C52DBFB">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w:t>
            </w:r>
          </w:p>
        </w:tc>
        <w:tc>
          <w:tcPr>
            <w:tcW w:w="2552" w:type="dxa"/>
            <w:tcBorders>
              <w:top w:val="single" w:color="auto" w:sz="4" w:space="0"/>
              <w:left w:val="single" w:color="auto" w:sz="4" w:space="0"/>
              <w:bottom w:val="single" w:color="auto" w:sz="4" w:space="0"/>
              <w:right w:val="single" w:color="auto" w:sz="4" w:space="0"/>
            </w:tcBorders>
            <w:noWrap/>
            <w:vAlign w:val="center"/>
          </w:tcPr>
          <w:p w14:paraId="2A07403E">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D4920AD">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578A283">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r>
      <w:tr w14:paraId="043908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6BBA1E1E">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135A5425">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D1640C2">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54FDD32E">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r>
      <w:tr w14:paraId="5A7FD0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DB2514A">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5B6A7EE8">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0C797F5">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2FBB5BDF">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r>
      <w:tr w14:paraId="55D5D0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4E9F2274">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2FB39683">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43AE006">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0F7A8027">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14:paraId="6C6FF4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0069E1B">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7922ABA6">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1F9B7CD">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53CCF717">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14:paraId="238429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45D813AC">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70E765BD">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567E9E1">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43761F5">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14:paraId="659A79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8C6392B">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499D7914">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EBCF49C">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3303C42E">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14:paraId="14D12D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7719D851">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3C05726F">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02FFF39">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5E087C7B">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bl>
    <w:p w14:paraId="0DBE2B40">
      <w:pPr>
        <w:snapToGrid w:val="0"/>
        <w:spacing w:line="460" w:lineRule="exact"/>
        <w:ind w:firstLine="240" w:firstLineChars="100"/>
        <w:rPr>
          <w:rFonts w:ascii="仿宋" w:hAnsi="仿宋" w:eastAsia="仿宋" w:cs="仿宋"/>
          <w:color w:val="auto"/>
          <w:sz w:val="24"/>
          <w:highlight w:val="none"/>
        </w:rPr>
      </w:pPr>
    </w:p>
    <w:p w14:paraId="12413A8D">
      <w:pPr>
        <w:snapToGrid w:val="0"/>
        <w:spacing w:line="460" w:lineRule="exact"/>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50ED3135">
      <w:pPr>
        <w:snapToGrid w:val="0"/>
        <w:spacing w:line="460" w:lineRule="exact"/>
        <w:jc w:val="right"/>
        <w:rPr>
          <w:rFonts w:ascii="仿宋" w:hAnsi="仿宋" w:eastAsia="仿宋" w:cs="仿宋"/>
          <w:b/>
          <w:color w:val="auto"/>
          <w:sz w:val="28"/>
          <w:szCs w:val="28"/>
          <w:highlight w:val="none"/>
        </w:rPr>
      </w:pPr>
      <w:r>
        <w:rPr>
          <w:rFonts w:hint="eastAsia" w:ascii="仿宋" w:hAnsi="仿宋" w:eastAsia="仿宋" w:cs="仿宋"/>
          <w:color w:val="auto"/>
          <w:sz w:val="24"/>
          <w:highlight w:val="none"/>
        </w:rPr>
        <w:t>日期：    年  月   日</w:t>
      </w:r>
    </w:p>
    <w:p w14:paraId="2DFA004A">
      <w:pP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43336BFD">
      <w:pPr>
        <w:pStyle w:val="40"/>
        <w:rPr>
          <w:rFonts w:hint="eastAsia" w:ascii="仿宋" w:hAnsi="仿宋" w:eastAsia="仿宋" w:cs="仿宋"/>
          <w:b/>
          <w:bCs/>
          <w:color w:val="auto"/>
          <w:sz w:val="28"/>
          <w:szCs w:val="28"/>
          <w:highlight w:val="none"/>
        </w:rPr>
        <w:sectPr>
          <w:pgSz w:w="11906" w:h="16838"/>
          <w:pgMar w:top="1440" w:right="1080" w:bottom="1440" w:left="1080" w:header="567" w:footer="567" w:gutter="0"/>
          <w:pgBorders>
            <w:top w:val="none" w:sz="0" w:space="0"/>
            <w:left w:val="none" w:sz="0" w:space="0"/>
            <w:bottom w:val="thickThinSmallGap" w:color="auto" w:sz="18" w:space="1"/>
            <w:right w:val="none" w:sz="0" w:space="0"/>
          </w:pgBorders>
          <w:pgNumType w:fmt="decimal"/>
          <w:cols w:space="720" w:num="1"/>
          <w:titlePg/>
          <w:docGrid w:type="lines" w:linePitch="312" w:charSpace="0"/>
        </w:sectPr>
      </w:pPr>
    </w:p>
    <w:p w14:paraId="06E60854">
      <w:pPr>
        <w:spacing w:line="400" w:lineRule="exact"/>
        <w:jc w:val="left"/>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2</w:t>
      </w:r>
      <w:r>
        <w:rPr>
          <w:rFonts w:hint="eastAsia" w:ascii="仿宋" w:hAnsi="仿宋" w:eastAsia="仿宋" w:cs="仿宋"/>
          <w:b/>
          <w:bCs/>
          <w:color w:val="auto"/>
          <w:sz w:val="28"/>
          <w:szCs w:val="28"/>
          <w:highlight w:val="none"/>
        </w:rPr>
        <w:t>、供应商情况一览表</w:t>
      </w:r>
    </w:p>
    <w:p w14:paraId="154A8C6B">
      <w:pPr>
        <w:adjustRightInd w:val="0"/>
        <w:snapToGrid w:val="0"/>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bCs/>
          <w:color w:val="auto"/>
          <w:kern w:val="0"/>
          <w:sz w:val="32"/>
          <w:szCs w:val="32"/>
          <w:highlight w:val="none"/>
        </w:rPr>
        <w:t>供应商</w:t>
      </w:r>
      <w:r>
        <w:rPr>
          <w:rFonts w:hint="eastAsia" w:ascii="仿宋" w:hAnsi="仿宋" w:eastAsia="仿宋" w:cs="仿宋"/>
          <w:b/>
          <w:color w:val="auto"/>
          <w:sz w:val="32"/>
          <w:szCs w:val="32"/>
          <w:highlight w:val="none"/>
        </w:rPr>
        <w:t>情况一览表</w:t>
      </w:r>
    </w:p>
    <w:tbl>
      <w:tblPr>
        <w:tblStyle w:val="33"/>
        <w:tblW w:w="4999" w:type="pct"/>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1275"/>
        <w:gridCol w:w="1964"/>
        <w:gridCol w:w="2121"/>
        <w:gridCol w:w="2006"/>
        <w:gridCol w:w="1859"/>
      </w:tblGrid>
      <w:tr w14:paraId="0685D75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995" w:type="pct"/>
            <w:gridSpan w:val="3"/>
            <w:tcBorders>
              <w:tl2br w:val="nil"/>
              <w:tr2bl w:val="nil"/>
            </w:tcBorders>
            <w:vAlign w:val="center"/>
          </w:tcPr>
          <w:p w14:paraId="2504E91B">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公司名称</w:t>
            </w:r>
          </w:p>
        </w:tc>
        <w:tc>
          <w:tcPr>
            <w:tcW w:w="3004" w:type="pct"/>
            <w:gridSpan w:val="3"/>
            <w:tcBorders>
              <w:tl2br w:val="nil"/>
              <w:tr2bl w:val="nil"/>
            </w:tcBorders>
            <w:vAlign w:val="center"/>
          </w:tcPr>
          <w:p w14:paraId="7094A896">
            <w:pPr>
              <w:spacing w:line="240" w:lineRule="atLeast"/>
              <w:rPr>
                <w:rFonts w:hint="eastAsia" w:ascii="仿宋" w:hAnsi="仿宋" w:eastAsia="仿宋" w:cs="仿宋"/>
                <w:color w:val="auto"/>
                <w:sz w:val="24"/>
                <w:highlight w:val="none"/>
              </w:rPr>
            </w:pPr>
          </w:p>
        </w:tc>
      </w:tr>
      <w:tr w14:paraId="2C3BFB8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995" w:type="pct"/>
            <w:gridSpan w:val="3"/>
            <w:tcBorders>
              <w:tl2br w:val="nil"/>
              <w:tr2bl w:val="nil"/>
            </w:tcBorders>
            <w:vAlign w:val="center"/>
          </w:tcPr>
          <w:p w14:paraId="7EBC6A3A">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注册资金</w:t>
            </w:r>
          </w:p>
        </w:tc>
        <w:tc>
          <w:tcPr>
            <w:tcW w:w="3004" w:type="pct"/>
            <w:gridSpan w:val="3"/>
            <w:tcBorders>
              <w:tl2br w:val="nil"/>
              <w:tr2bl w:val="nil"/>
            </w:tcBorders>
            <w:vAlign w:val="center"/>
          </w:tcPr>
          <w:p w14:paraId="6E99D76D">
            <w:pPr>
              <w:spacing w:line="240" w:lineRule="atLeast"/>
              <w:rPr>
                <w:rFonts w:hint="eastAsia" w:ascii="仿宋" w:hAnsi="仿宋" w:eastAsia="仿宋" w:cs="仿宋"/>
                <w:color w:val="auto"/>
                <w:sz w:val="24"/>
                <w:highlight w:val="none"/>
              </w:rPr>
            </w:pPr>
          </w:p>
        </w:tc>
      </w:tr>
      <w:tr w14:paraId="58E3381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995" w:type="pct"/>
            <w:gridSpan w:val="3"/>
            <w:tcBorders>
              <w:tl2br w:val="nil"/>
              <w:tr2bl w:val="nil"/>
            </w:tcBorders>
            <w:vAlign w:val="center"/>
          </w:tcPr>
          <w:p w14:paraId="2222CD95">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地址、邮编</w:t>
            </w:r>
          </w:p>
        </w:tc>
        <w:tc>
          <w:tcPr>
            <w:tcW w:w="3004" w:type="pct"/>
            <w:gridSpan w:val="3"/>
            <w:tcBorders>
              <w:tl2br w:val="nil"/>
              <w:tr2bl w:val="nil"/>
            </w:tcBorders>
            <w:vAlign w:val="center"/>
          </w:tcPr>
          <w:p w14:paraId="253CD98A">
            <w:pPr>
              <w:spacing w:line="240" w:lineRule="atLeast"/>
              <w:rPr>
                <w:rFonts w:hint="eastAsia" w:ascii="仿宋" w:hAnsi="仿宋" w:eastAsia="仿宋" w:cs="仿宋"/>
                <w:color w:val="auto"/>
                <w:sz w:val="24"/>
                <w:highlight w:val="none"/>
              </w:rPr>
            </w:pPr>
          </w:p>
        </w:tc>
      </w:tr>
      <w:tr w14:paraId="2F4B860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995" w:type="pct"/>
            <w:gridSpan w:val="3"/>
            <w:tcBorders>
              <w:tl2br w:val="nil"/>
              <w:tr2bl w:val="nil"/>
            </w:tcBorders>
            <w:vAlign w:val="center"/>
          </w:tcPr>
          <w:p w14:paraId="3414CCCD">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主要业务范围</w:t>
            </w:r>
          </w:p>
        </w:tc>
        <w:tc>
          <w:tcPr>
            <w:tcW w:w="3004" w:type="pct"/>
            <w:gridSpan w:val="3"/>
            <w:tcBorders>
              <w:tl2br w:val="nil"/>
              <w:tr2bl w:val="nil"/>
            </w:tcBorders>
            <w:vAlign w:val="center"/>
          </w:tcPr>
          <w:p w14:paraId="30AB1661">
            <w:pPr>
              <w:spacing w:line="240" w:lineRule="atLeast"/>
              <w:rPr>
                <w:rFonts w:hint="eastAsia" w:ascii="仿宋" w:hAnsi="仿宋" w:eastAsia="仿宋" w:cs="仿宋"/>
                <w:color w:val="auto"/>
                <w:sz w:val="24"/>
                <w:highlight w:val="none"/>
              </w:rPr>
            </w:pPr>
          </w:p>
        </w:tc>
      </w:tr>
      <w:tr w14:paraId="18A7083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995" w:type="pct"/>
            <w:gridSpan w:val="3"/>
            <w:tcBorders>
              <w:tl2br w:val="nil"/>
              <w:tr2bl w:val="nil"/>
            </w:tcBorders>
            <w:vAlign w:val="center"/>
          </w:tcPr>
          <w:p w14:paraId="3BDD07D3">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企业性质</w:t>
            </w:r>
          </w:p>
        </w:tc>
        <w:tc>
          <w:tcPr>
            <w:tcW w:w="3004" w:type="pct"/>
            <w:gridSpan w:val="3"/>
            <w:tcBorders>
              <w:tl2br w:val="nil"/>
              <w:tr2bl w:val="nil"/>
            </w:tcBorders>
            <w:vAlign w:val="center"/>
          </w:tcPr>
          <w:p w14:paraId="38B6641C">
            <w:pPr>
              <w:spacing w:line="240" w:lineRule="atLeast"/>
              <w:rPr>
                <w:rFonts w:hint="eastAsia" w:ascii="仿宋" w:hAnsi="仿宋" w:eastAsia="仿宋" w:cs="仿宋"/>
                <w:color w:val="auto"/>
                <w:sz w:val="24"/>
                <w:highlight w:val="none"/>
              </w:rPr>
            </w:pPr>
          </w:p>
        </w:tc>
      </w:tr>
      <w:tr w14:paraId="2F3E31B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995" w:type="pct"/>
            <w:gridSpan w:val="3"/>
            <w:tcBorders>
              <w:tl2br w:val="nil"/>
              <w:tr2bl w:val="nil"/>
            </w:tcBorders>
            <w:vAlign w:val="center"/>
          </w:tcPr>
          <w:p w14:paraId="6352EE83">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成立时间</w:t>
            </w:r>
          </w:p>
        </w:tc>
        <w:tc>
          <w:tcPr>
            <w:tcW w:w="3004" w:type="pct"/>
            <w:gridSpan w:val="3"/>
            <w:tcBorders>
              <w:tl2br w:val="nil"/>
              <w:tr2bl w:val="nil"/>
            </w:tcBorders>
            <w:vAlign w:val="center"/>
          </w:tcPr>
          <w:p w14:paraId="36E7F7CB">
            <w:pPr>
              <w:spacing w:line="240" w:lineRule="atLeast"/>
              <w:rPr>
                <w:rFonts w:hint="eastAsia" w:ascii="仿宋" w:hAnsi="仿宋" w:eastAsia="仿宋" w:cs="仿宋"/>
                <w:color w:val="auto"/>
                <w:sz w:val="24"/>
                <w:highlight w:val="none"/>
              </w:rPr>
            </w:pPr>
          </w:p>
        </w:tc>
      </w:tr>
      <w:tr w14:paraId="4D1D669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995" w:type="pct"/>
            <w:gridSpan w:val="3"/>
            <w:tcBorders>
              <w:tl2br w:val="nil"/>
              <w:tr2bl w:val="nil"/>
            </w:tcBorders>
            <w:vAlign w:val="center"/>
          </w:tcPr>
          <w:p w14:paraId="34D1ECAD">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生产经营场所规模（平方）</w:t>
            </w:r>
          </w:p>
        </w:tc>
        <w:tc>
          <w:tcPr>
            <w:tcW w:w="3004" w:type="pct"/>
            <w:gridSpan w:val="3"/>
            <w:tcBorders>
              <w:tl2br w:val="nil"/>
              <w:tr2bl w:val="nil"/>
            </w:tcBorders>
            <w:vAlign w:val="center"/>
          </w:tcPr>
          <w:p w14:paraId="23E30DA5">
            <w:pPr>
              <w:spacing w:line="240" w:lineRule="atLeast"/>
              <w:rPr>
                <w:rFonts w:hint="eastAsia" w:ascii="仿宋" w:hAnsi="仿宋" w:eastAsia="仿宋" w:cs="仿宋"/>
                <w:color w:val="auto"/>
                <w:sz w:val="24"/>
                <w:highlight w:val="none"/>
              </w:rPr>
            </w:pPr>
          </w:p>
        </w:tc>
      </w:tr>
      <w:tr w14:paraId="49C2AA4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5000" w:type="pct"/>
            <w:gridSpan w:val="6"/>
            <w:tcBorders>
              <w:tl2br w:val="nil"/>
              <w:tr2bl w:val="nil"/>
            </w:tcBorders>
            <w:vAlign w:val="center"/>
          </w:tcPr>
          <w:p w14:paraId="60549B58">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公司领导班子构成情况</w:t>
            </w:r>
          </w:p>
        </w:tc>
      </w:tr>
      <w:tr w14:paraId="16B103F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009" w:type="pct"/>
            <w:gridSpan w:val="2"/>
            <w:tcBorders>
              <w:tl2br w:val="nil"/>
              <w:tr2bl w:val="nil"/>
            </w:tcBorders>
            <w:vAlign w:val="center"/>
          </w:tcPr>
          <w:p w14:paraId="4ED9DEF3">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法人代表</w:t>
            </w:r>
          </w:p>
        </w:tc>
        <w:tc>
          <w:tcPr>
            <w:tcW w:w="986" w:type="pct"/>
            <w:tcBorders>
              <w:tl2br w:val="nil"/>
              <w:tr2bl w:val="nil"/>
            </w:tcBorders>
            <w:vAlign w:val="center"/>
          </w:tcPr>
          <w:p w14:paraId="3C121415">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公司经理</w:t>
            </w:r>
          </w:p>
        </w:tc>
        <w:tc>
          <w:tcPr>
            <w:tcW w:w="1065" w:type="pct"/>
            <w:tcBorders>
              <w:tl2br w:val="nil"/>
              <w:tr2bl w:val="nil"/>
            </w:tcBorders>
            <w:vAlign w:val="center"/>
          </w:tcPr>
          <w:p w14:paraId="20797361">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总工程师</w:t>
            </w:r>
          </w:p>
        </w:tc>
        <w:tc>
          <w:tcPr>
            <w:tcW w:w="1007" w:type="pct"/>
            <w:tcBorders>
              <w:tl2br w:val="nil"/>
              <w:tr2bl w:val="nil"/>
            </w:tcBorders>
            <w:vAlign w:val="center"/>
          </w:tcPr>
          <w:p w14:paraId="065F2021">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总经济师</w:t>
            </w:r>
          </w:p>
        </w:tc>
        <w:tc>
          <w:tcPr>
            <w:tcW w:w="930" w:type="pct"/>
            <w:tcBorders>
              <w:tl2br w:val="nil"/>
              <w:tr2bl w:val="nil"/>
            </w:tcBorders>
            <w:vAlign w:val="center"/>
          </w:tcPr>
          <w:p w14:paraId="21F8679E">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总会计师</w:t>
            </w:r>
          </w:p>
        </w:tc>
      </w:tr>
      <w:tr w14:paraId="7E7C02A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009" w:type="pct"/>
            <w:gridSpan w:val="2"/>
            <w:tcBorders>
              <w:tl2br w:val="nil"/>
              <w:tr2bl w:val="nil"/>
            </w:tcBorders>
            <w:vAlign w:val="center"/>
          </w:tcPr>
          <w:p w14:paraId="634BDB1C">
            <w:pPr>
              <w:spacing w:line="240" w:lineRule="atLeast"/>
              <w:rPr>
                <w:rFonts w:hint="eastAsia" w:ascii="仿宋" w:hAnsi="仿宋" w:eastAsia="仿宋" w:cs="仿宋"/>
                <w:color w:val="auto"/>
                <w:sz w:val="24"/>
                <w:highlight w:val="none"/>
              </w:rPr>
            </w:pPr>
          </w:p>
        </w:tc>
        <w:tc>
          <w:tcPr>
            <w:tcW w:w="986" w:type="pct"/>
            <w:tcBorders>
              <w:tl2br w:val="nil"/>
              <w:tr2bl w:val="nil"/>
            </w:tcBorders>
            <w:vAlign w:val="center"/>
          </w:tcPr>
          <w:p w14:paraId="1425F0E4">
            <w:pPr>
              <w:spacing w:line="240" w:lineRule="atLeast"/>
              <w:rPr>
                <w:rFonts w:hint="eastAsia" w:ascii="仿宋" w:hAnsi="仿宋" w:eastAsia="仿宋" w:cs="仿宋"/>
                <w:color w:val="auto"/>
                <w:sz w:val="24"/>
                <w:highlight w:val="none"/>
              </w:rPr>
            </w:pPr>
          </w:p>
        </w:tc>
        <w:tc>
          <w:tcPr>
            <w:tcW w:w="1065" w:type="pct"/>
            <w:tcBorders>
              <w:tl2br w:val="nil"/>
              <w:tr2bl w:val="nil"/>
            </w:tcBorders>
            <w:vAlign w:val="center"/>
          </w:tcPr>
          <w:p w14:paraId="0EDA3BCA">
            <w:pPr>
              <w:spacing w:line="240" w:lineRule="atLeast"/>
              <w:rPr>
                <w:rFonts w:hint="eastAsia" w:ascii="仿宋" w:hAnsi="仿宋" w:eastAsia="仿宋" w:cs="仿宋"/>
                <w:color w:val="auto"/>
                <w:sz w:val="24"/>
                <w:highlight w:val="none"/>
              </w:rPr>
            </w:pPr>
          </w:p>
        </w:tc>
        <w:tc>
          <w:tcPr>
            <w:tcW w:w="1007" w:type="pct"/>
            <w:tcBorders>
              <w:tl2br w:val="nil"/>
              <w:tr2bl w:val="nil"/>
            </w:tcBorders>
            <w:vAlign w:val="center"/>
          </w:tcPr>
          <w:p w14:paraId="0664E84B">
            <w:pPr>
              <w:spacing w:line="240" w:lineRule="atLeast"/>
              <w:rPr>
                <w:rFonts w:hint="eastAsia" w:ascii="仿宋" w:hAnsi="仿宋" w:eastAsia="仿宋" w:cs="仿宋"/>
                <w:color w:val="auto"/>
                <w:sz w:val="24"/>
                <w:highlight w:val="none"/>
              </w:rPr>
            </w:pPr>
          </w:p>
        </w:tc>
        <w:tc>
          <w:tcPr>
            <w:tcW w:w="930" w:type="pct"/>
            <w:tcBorders>
              <w:tl2br w:val="nil"/>
              <w:tr2bl w:val="nil"/>
            </w:tcBorders>
            <w:vAlign w:val="center"/>
          </w:tcPr>
          <w:p w14:paraId="780137CA">
            <w:pPr>
              <w:spacing w:line="240" w:lineRule="atLeast"/>
              <w:rPr>
                <w:rFonts w:hint="eastAsia" w:ascii="仿宋" w:hAnsi="仿宋" w:eastAsia="仿宋" w:cs="仿宋"/>
                <w:color w:val="auto"/>
                <w:sz w:val="24"/>
                <w:highlight w:val="none"/>
              </w:rPr>
            </w:pPr>
          </w:p>
        </w:tc>
      </w:tr>
      <w:tr w14:paraId="4CE76CD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5000" w:type="pct"/>
            <w:gridSpan w:val="6"/>
            <w:tcBorders>
              <w:tl2br w:val="nil"/>
              <w:tr2bl w:val="nil"/>
            </w:tcBorders>
            <w:vAlign w:val="center"/>
          </w:tcPr>
          <w:p w14:paraId="40952313">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公司人员职称构成情况</w:t>
            </w:r>
          </w:p>
        </w:tc>
      </w:tr>
      <w:tr w14:paraId="377F812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009" w:type="pct"/>
            <w:gridSpan w:val="2"/>
            <w:vMerge w:val="restart"/>
            <w:tcBorders>
              <w:tl2br w:val="nil"/>
              <w:tr2bl w:val="nil"/>
            </w:tcBorders>
            <w:vAlign w:val="center"/>
          </w:tcPr>
          <w:p w14:paraId="20070EF4">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人员总数（人）</w:t>
            </w:r>
          </w:p>
        </w:tc>
        <w:tc>
          <w:tcPr>
            <w:tcW w:w="986" w:type="pct"/>
            <w:tcBorders>
              <w:tl2br w:val="nil"/>
              <w:tr2bl w:val="nil"/>
            </w:tcBorders>
            <w:vAlign w:val="center"/>
          </w:tcPr>
          <w:p w14:paraId="26B48545">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高级职称</w:t>
            </w:r>
          </w:p>
        </w:tc>
        <w:tc>
          <w:tcPr>
            <w:tcW w:w="1065" w:type="pct"/>
            <w:tcBorders>
              <w:tl2br w:val="nil"/>
              <w:tr2bl w:val="nil"/>
            </w:tcBorders>
            <w:vAlign w:val="center"/>
          </w:tcPr>
          <w:p w14:paraId="2DEF607E">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中级职称</w:t>
            </w:r>
          </w:p>
        </w:tc>
        <w:tc>
          <w:tcPr>
            <w:tcW w:w="1007" w:type="pct"/>
            <w:tcBorders>
              <w:tl2br w:val="nil"/>
              <w:tr2bl w:val="nil"/>
            </w:tcBorders>
            <w:vAlign w:val="center"/>
          </w:tcPr>
          <w:p w14:paraId="74A3101A">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初级职称</w:t>
            </w:r>
          </w:p>
        </w:tc>
        <w:tc>
          <w:tcPr>
            <w:tcW w:w="930" w:type="pct"/>
            <w:tcBorders>
              <w:tl2br w:val="nil"/>
              <w:tr2bl w:val="nil"/>
            </w:tcBorders>
            <w:vAlign w:val="center"/>
          </w:tcPr>
          <w:p w14:paraId="11E59B50">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其他</w:t>
            </w:r>
          </w:p>
        </w:tc>
      </w:tr>
      <w:tr w14:paraId="3C98679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009" w:type="pct"/>
            <w:gridSpan w:val="2"/>
            <w:vMerge w:val="continue"/>
            <w:tcBorders>
              <w:tl2br w:val="nil"/>
              <w:tr2bl w:val="nil"/>
            </w:tcBorders>
            <w:vAlign w:val="center"/>
          </w:tcPr>
          <w:p w14:paraId="534D0925">
            <w:pPr>
              <w:spacing w:line="240" w:lineRule="atLeast"/>
              <w:rPr>
                <w:rFonts w:hint="eastAsia" w:ascii="仿宋" w:hAnsi="仿宋" w:eastAsia="仿宋" w:cs="仿宋"/>
                <w:color w:val="auto"/>
                <w:sz w:val="24"/>
                <w:highlight w:val="none"/>
              </w:rPr>
            </w:pPr>
          </w:p>
        </w:tc>
        <w:tc>
          <w:tcPr>
            <w:tcW w:w="986" w:type="pct"/>
            <w:tcBorders>
              <w:tl2br w:val="nil"/>
              <w:tr2bl w:val="nil"/>
            </w:tcBorders>
            <w:vAlign w:val="center"/>
          </w:tcPr>
          <w:p w14:paraId="7C08868C">
            <w:pPr>
              <w:spacing w:line="240" w:lineRule="atLeast"/>
              <w:rPr>
                <w:rFonts w:hint="eastAsia" w:ascii="仿宋" w:hAnsi="仿宋" w:eastAsia="仿宋" w:cs="仿宋"/>
                <w:color w:val="auto"/>
                <w:sz w:val="24"/>
                <w:highlight w:val="none"/>
              </w:rPr>
            </w:pPr>
          </w:p>
        </w:tc>
        <w:tc>
          <w:tcPr>
            <w:tcW w:w="1065" w:type="pct"/>
            <w:tcBorders>
              <w:tl2br w:val="nil"/>
              <w:tr2bl w:val="nil"/>
            </w:tcBorders>
            <w:vAlign w:val="center"/>
          </w:tcPr>
          <w:p w14:paraId="0689708C">
            <w:pPr>
              <w:spacing w:line="240" w:lineRule="atLeast"/>
              <w:rPr>
                <w:rFonts w:hint="eastAsia" w:ascii="仿宋" w:hAnsi="仿宋" w:eastAsia="仿宋" w:cs="仿宋"/>
                <w:color w:val="auto"/>
                <w:sz w:val="24"/>
                <w:highlight w:val="none"/>
              </w:rPr>
            </w:pPr>
          </w:p>
        </w:tc>
        <w:tc>
          <w:tcPr>
            <w:tcW w:w="1007" w:type="pct"/>
            <w:tcBorders>
              <w:tl2br w:val="nil"/>
              <w:tr2bl w:val="nil"/>
            </w:tcBorders>
            <w:vAlign w:val="center"/>
          </w:tcPr>
          <w:p w14:paraId="5AAD61E8">
            <w:pPr>
              <w:spacing w:line="240" w:lineRule="atLeast"/>
              <w:rPr>
                <w:rFonts w:hint="eastAsia" w:ascii="仿宋" w:hAnsi="仿宋" w:eastAsia="仿宋" w:cs="仿宋"/>
                <w:color w:val="auto"/>
                <w:sz w:val="24"/>
                <w:highlight w:val="none"/>
              </w:rPr>
            </w:pPr>
          </w:p>
        </w:tc>
        <w:tc>
          <w:tcPr>
            <w:tcW w:w="930" w:type="pct"/>
            <w:tcBorders>
              <w:tl2br w:val="nil"/>
              <w:tr2bl w:val="nil"/>
            </w:tcBorders>
            <w:vAlign w:val="center"/>
          </w:tcPr>
          <w:p w14:paraId="3E867C9E">
            <w:pPr>
              <w:spacing w:line="240" w:lineRule="atLeast"/>
              <w:rPr>
                <w:rFonts w:hint="eastAsia" w:ascii="仿宋" w:hAnsi="仿宋" w:eastAsia="仿宋" w:cs="仿宋"/>
                <w:color w:val="auto"/>
                <w:sz w:val="24"/>
                <w:highlight w:val="none"/>
              </w:rPr>
            </w:pPr>
          </w:p>
        </w:tc>
      </w:tr>
      <w:tr w14:paraId="3F3C8C2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009" w:type="pct"/>
            <w:gridSpan w:val="2"/>
            <w:vMerge w:val="restart"/>
            <w:tcBorders>
              <w:tl2br w:val="nil"/>
              <w:tr2bl w:val="nil"/>
            </w:tcBorders>
            <w:vAlign w:val="center"/>
          </w:tcPr>
          <w:p w14:paraId="28C11240">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人员构成（%）</w:t>
            </w:r>
          </w:p>
        </w:tc>
        <w:tc>
          <w:tcPr>
            <w:tcW w:w="986" w:type="pct"/>
            <w:tcBorders>
              <w:tl2br w:val="nil"/>
              <w:tr2bl w:val="nil"/>
            </w:tcBorders>
            <w:vAlign w:val="center"/>
          </w:tcPr>
          <w:p w14:paraId="663CF585">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管理人员</w:t>
            </w:r>
          </w:p>
        </w:tc>
        <w:tc>
          <w:tcPr>
            <w:tcW w:w="1065" w:type="pct"/>
            <w:tcBorders>
              <w:tl2br w:val="nil"/>
              <w:tr2bl w:val="nil"/>
            </w:tcBorders>
            <w:vAlign w:val="center"/>
          </w:tcPr>
          <w:p w14:paraId="39384190">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技术人员</w:t>
            </w:r>
          </w:p>
        </w:tc>
        <w:tc>
          <w:tcPr>
            <w:tcW w:w="1007" w:type="pct"/>
            <w:tcBorders>
              <w:tl2br w:val="nil"/>
              <w:tr2bl w:val="nil"/>
            </w:tcBorders>
            <w:vAlign w:val="center"/>
          </w:tcPr>
          <w:p w14:paraId="115BEC09">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后勤人员</w:t>
            </w:r>
          </w:p>
        </w:tc>
        <w:tc>
          <w:tcPr>
            <w:tcW w:w="930" w:type="pct"/>
            <w:tcBorders>
              <w:tl2br w:val="nil"/>
              <w:tr2bl w:val="nil"/>
            </w:tcBorders>
            <w:vAlign w:val="center"/>
          </w:tcPr>
          <w:p w14:paraId="339F36FF">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其他</w:t>
            </w:r>
          </w:p>
        </w:tc>
      </w:tr>
      <w:tr w14:paraId="36B9805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009" w:type="pct"/>
            <w:gridSpan w:val="2"/>
            <w:vMerge w:val="continue"/>
            <w:tcBorders>
              <w:tl2br w:val="nil"/>
              <w:tr2bl w:val="nil"/>
            </w:tcBorders>
            <w:vAlign w:val="center"/>
          </w:tcPr>
          <w:p w14:paraId="746186B2">
            <w:pPr>
              <w:spacing w:line="240" w:lineRule="atLeast"/>
              <w:rPr>
                <w:rFonts w:hint="eastAsia" w:ascii="仿宋" w:hAnsi="仿宋" w:eastAsia="仿宋" w:cs="仿宋"/>
                <w:color w:val="auto"/>
                <w:sz w:val="24"/>
                <w:highlight w:val="none"/>
              </w:rPr>
            </w:pPr>
          </w:p>
        </w:tc>
        <w:tc>
          <w:tcPr>
            <w:tcW w:w="986" w:type="pct"/>
            <w:tcBorders>
              <w:tl2br w:val="nil"/>
              <w:tr2bl w:val="nil"/>
            </w:tcBorders>
            <w:vAlign w:val="center"/>
          </w:tcPr>
          <w:p w14:paraId="5F8C5C0C">
            <w:pPr>
              <w:spacing w:line="240" w:lineRule="atLeast"/>
              <w:rPr>
                <w:rFonts w:hint="eastAsia" w:ascii="仿宋" w:hAnsi="仿宋" w:eastAsia="仿宋" w:cs="仿宋"/>
                <w:color w:val="auto"/>
                <w:sz w:val="24"/>
                <w:highlight w:val="none"/>
              </w:rPr>
            </w:pPr>
          </w:p>
        </w:tc>
        <w:tc>
          <w:tcPr>
            <w:tcW w:w="1065" w:type="pct"/>
            <w:tcBorders>
              <w:tl2br w:val="nil"/>
              <w:tr2bl w:val="nil"/>
            </w:tcBorders>
            <w:vAlign w:val="center"/>
          </w:tcPr>
          <w:p w14:paraId="7F453ADF">
            <w:pPr>
              <w:spacing w:line="240" w:lineRule="atLeast"/>
              <w:rPr>
                <w:rFonts w:hint="eastAsia" w:ascii="仿宋" w:hAnsi="仿宋" w:eastAsia="仿宋" w:cs="仿宋"/>
                <w:color w:val="auto"/>
                <w:sz w:val="24"/>
                <w:highlight w:val="none"/>
              </w:rPr>
            </w:pPr>
          </w:p>
        </w:tc>
        <w:tc>
          <w:tcPr>
            <w:tcW w:w="1007" w:type="pct"/>
            <w:tcBorders>
              <w:tl2br w:val="nil"/>
              <w:tr2bl w:val="nil"/>
            </w:tcBorders>
            <w:vAlign w:val="center"/>
          </w:tcPr>
          <w:p w14:paraId="7107AE78">
            <w:pPr>
              <w:spacing w:line="240" w:lineRule="atLeast"/>
              <w:rPr>
                <w:rFonts w:hint="eastAsia" w:ascii="仿宋" w:hAnsi="仿宋" w:eastAsia="仿宋" w:cs="仿宋"/>
                <w:color w:val="auto"/>
                <w:sz w:val="24"/>
                <w:highlight w:val="none"/>
              </w:rPr>
            </w:pPr>
          </w:p>
        </w:tc>
        <w:tc>
          <w:tcPr>
            <w:tcW w:w="930" w:type="pct"/>
            <w:tcBorders>
              <w:tl2br w:val="nil"/>
              <w:tr2bl w:val="nil"/>
            </w:tcBorders>
            <w:vAlign w:val="center"/>
          </w:tcPr>
          <w:p w14:paraId="2B2A3F5C">
            <w:pPr>
              <w:spacing w:line="240" w:lineRule="atLeast"/>
              <w:rPr>
                <w:rFonts w:hint="eastAsia" w:ascii="仿宋" w:hAnsi="仿宋" w:eastAsia="仿宋" w:cs="仿宋"/>
                <w:color w:val="auto"/>
                <w:sz w:val="24"/>
                <w:highlight w:val="none"/>
              </w:rPr>
            </w:pPr>
          </w:p>
        </w:tc>
      </w:tr>
      <w:tr w14:paraId="3BCB468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009" w:type="pct"/>
            <w:gridSpan w:val="2"/>
            <w:vMerge w:val="restart"/>
            <w:tcBorders>
              <w:tl2br w:val="nil"/>
              <w:tr2bl w:val="nil"/>
            </w:tcBorders>
            <w:vAlign w:val="center"/>
          </w:tcPr>
          <w:p w14:paraId="3A61F519">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上年度末资产及负债情况</w:t>
            </w:r>
          </w:p>
        </w:tc>
        <w:tc>
          <w:tcPr>
            <w:tcW w:w="986" w:type="pct"/>
            <w:tcBorders>
              <w:tl2br w:val="nil"/>
              <w:tr2bl w:val="nil"/>
            </w:tcBorders>
            <w:vAlign w:val="center"/>
          </w:tcPr>
          <w:p w14:paraId="24FD856F">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总资产</w:t>
            </w:r>
          </w:p>
        </w:tc>
        <w:tc>
          <w:tcPr>
            <w:tcW w:w="1065" w:type="pct"/>
            <w:tcBorders>
              <w:tl2br w:val="nil"/>
              <w:tr2bl w:val="nil"/>
            </w:tcBorders>
            <w:vAlign w:val="center"/>
          </w:tcPr>
          <w:p w14:paraId="60AC7131">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固定资产净额</w:t>
            </w:r>
          </w:p>
        </w:tc>
        <w:tc>
          <w:tcPr>
            <w:tcW w:w="1007" w:type="pct"/>
            <w:tcBorders>
              <w:tl2br w:val="nil"/>
              <w:tr2bl w:val="nil"/>
            </w:tcBorders>
            <w:vAlign w:val="center"/>
          </w:tcPr>
          <w:p w14:paraId="596AE6CB">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流动资产</w:t>
            </w:r>
          </w:p>
        </w:tc>
        <w:tc>
          <w:tcPr>
            <w:tcW w:w="930" w:type="pct"/>
            <w:tcBorders>
              <w:tl2br w:val="nil"/>
              <w:tr2bl w:val="nil"/>
            </w:tcBorders>
            <w:vAlign w:val="center"/>
          </w:tcPr>
          <w:p w14:paraId="4874228B">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资产负债</w:t>
            </w:r>
          </w:p>
        </w:tc>
      </w:tr>
      <w:tr w14:paraId="25CD187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009" w:type="pct"/>
            <w:gridSpan w:val="2"/>
            <w:vMerge w:val="continue"/>
            <w:tcBorders>
              <w:tl2br w:val="nil"/>
              <w:tr2bl w:val="nil"/>
            </w:tcBorders>
            <w:vAlign w:val="center"/>
          </w:tcPr>
          <w:p w14:paraId="110EB715">
            <w:pPr>
              <w:spacing w:line="240" w:lineRule="atLeast"/>
              <w:rPr>
                <w:rFonts w:hint="eastAsia" w:ascii="仿宋" w:hAnsi="仿宋" w:eastAsia="仿宋" w:cs="仿宋"/>
                <w:color w:val="auto"/>
                <w:sz w:val="24"/>
                <w:highlight w:val="none"/>
              </w:rPr>
            </w:pPr>
          </w:p>
        </w:tc>
        <w:tc>
          <w:tcPr>
            <w:tcW w:w="986" w:type="pct"/>
            <w:tcBorders>
              <w:tl2br w:val="nil"/>
              <w:tr2bl w:val="nil"/>
            </w:tcBorders>
            <w:vAlign w:val="center"/>
          </w:tcPr>
          <w:p w14:paraId="3550538D">
            <w:pPr>
              <w:spacing w:line="240" w:lineRule="atLeast"/>
              <w:rPr>
                <w:rFonts w:hint="eastAsia" w:ascii="仿宋" w:hAnsi="仿宋" w:eastAsia="仿宋" w:cs="仿宋"/>
                <w:color w:val="auto"/>
                <w:sz w:val="24"/>
                <w:highlight w:val="none"/>
              </w:rPr>
            </w:pPr>
          </w:p>
        </w:tc>
        <w:tc>
          <w:tcPr>
            <w:tcW w:w="1065" w:type="pct"/>
            <w:tcBorders>
              <w:tl2br w:val="nil"/>
              <w:tr2bl w:val="nil"/>
            </w:tcBorders>
            <w:vAlign w:val="center"/>
          </w:tcPr>
          <w:p w14:paraId="4275707F">
            <w:pPr>
              <w:spacing w:line="240" w:lineRule="atLeast"/>
              <w:rPr>
                <w:rFonts w:hint="eastAsia" w:ascii="仿宋" w:hAnsi="仿宋" w:eastAsia="仿宋" w:cs="仿宋"/>
                <w:color w:val="auto"/>
                <w:sz w:val="24"/>
                <w:highlight w:val="none"/>
              </w:rPr>
            </w:pPr>
          </w:p>
        </w:tc>
        <w:tc>
          <w:tcPr>
            <w:tcW w:w="1007" w:type="pct"/>
            <w:tcBorders>
              <w:tl2br w:val="nil"/>
              <w:tr2bl w:val="nil"/>
            </w:tcBorders>
            <w:vAlign w:val="center"/>
          </w:tcPr>
          <w:p w14:paraId="01D4F980">
            <w:pPr>
              <w:spacing w:line="240" w:lineRule="atLeast"/>
              <w:rPr>
                <w:rFonts w:hint="eastAsia" w:ascii="仿宋" w:hAnsi="仿宋" w:eastAsia="仿宋" w:cs="仿宋"/>
                <w:color w:val="auto"/>
                <w:sz w:val="24"/>
                <w:highlight w:val="none"/>
              </w:rPr>
            </w:pPr>
          </w:p>
        </w:tc>
        <w:tc>
          <w:tcPr>
            <w:tcW w:w="930" w:type="pct"/>
            <w:tcBorders>
              <w:tl2br w:val="nil"/>
              <w:tr2bl w:val="nil"/>
            </w:tcBorders>
            <w:vAlign w:val="center"/>
          </w:tcPr>
          <w:p w14:paraId="1FB0B9E4">
            <w:pPr>
              <w:spacing w:line="240" w:lineRule="atLeast"/>
              <w:rPr>
                <w:rFonts w:hint="eastAsia" w:ascii="仿宋" w:hAnsi="仿宋" w:eastAsia="仿宋" w:cs="仿宋"/>
                <w:color w:val="auto"/>
                <w:sz w:val="24"/>
                <w:highlight w:val="none"/>
              </w:rPr>
            </w:pPr>
          </w:p>
        </w:tc>
      </w:tr>
      <w:tr w14:paraId="13B531B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937" w:hRule="exact"/>
        </w:trPr>
        <w:tc>
          <w:tcPr>
            <w:tcW w:w="369" w:type="pct"/>
            <w:tcBorders>
              <w:tl2br w:val="nil"/>
              <w:tr2bl w:val="nil"/>
            </w:tcBorders>
            <w:vAlign w:val="center"/>
          </w:tcPr>
          <w:p w14:paraId="7A541517">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企业概况</w:t>
            </w:r>
          </w:p>
        </w:tc>
        <w:tc>
          <w:tcPr>
            <w:tcW w:w="4630" w:type="pct"/>
            <w:gridSpan w:val="5"/>
            <w:tcBorders>
              <w:tl2br w:val="nil"/>
              <w:tr2bl w:val="nil"/>
            </w:tcBorders>
            <w:vAlign w:val="center"/>
          </w:tcPr>
          <w:p w14:paraId="4612514A">
            <w:pPr>
              <w:rPr>
                <w:rFonts w:hint="eastAsia" w:ascii="仿宋" w:hAnsi="仿宋" w:eastAsia="仿宋" w:cs="仿宋"/>
                <w:color w:val="auto"/>
                <w:sz w:val="24"/>
                <w:highlight w:val="none"/>
              </w:rPr>
            </w:pPr>
          </w:p>
        </w:tc>
      </w:tr>
    </w:tbl>
    <w:p w14:paraId="622FEFF5">
      <w:pPr>
        <w:adjustRightInd w:val="0"/>
        <w:snapToGrid w:val="0"/>
        <w:spacing w:line="360" w:lineRule="auto"/>
        <w:rPr>
          <w:rFonts w:hint="eastAsia" w:ascii="仿宋" w:hAnsi="仿宋" w:eastAsia="仿宋" w:cs="仿宋"/>
          <w:color w:val="auto"/>
          <w:sz w:val="24"/>
          <w:highlight w:val="none"/>
        </w:rPr>
      </w:pPr>
    </w:p>
    <w:p w14:paraId="00253D74">
      <w:pPr>
        <w:adjustRightInd w:val="0"/>
        <w:snapToGrid w:val="0"/>
        <w:spacing w:line="360" w:lineRule="auto"/>
        <w:ind w:firstLine="4320" w:firstLineChars="1800"/>
        <w:rPr>
          <w:rFonts w:hint="eastAsia" w:ascii="仿宋" w:hAnsi="仿宋" w:eastAsia="仿宋" w:cs="仿宋"/>
          <w:color w:val="auto"/>
          <w:sz w:val="24"/>
          <w:highlight w:val="none"/>
        </w:rPr>
      </w:pPr>
      <w:r>
        <w:rPr>
          <w:rFonts w:hint="eastAsia" w:ascii="仿宋" w:hAnsi="仿宋" w:eastAsia="仿宋" w:cs="仿宋"/>
          <w:bCs/>
          <w:color w:val="auto"/>
          <w:kern w:val="0"/>
          <w:sz w:val="24"/>
          <w:highlight w:val="none"/>
        </w:rPr>
        <w:t>供应商全称</w:t>
      </w:r>
      <w:r>
        <w:rPr>
          <w:rFonts w:hint="eastAsia" w:ascii="仿宋" w:hAnsi="仿宋" w:eastAsia="仿宋" w:cs="仿宋"/>
          <w:color w:val="auto"/>
          <w:sz w:val="24"/>
          <w:highlight w:val="none"/>
        </w:rPr>
        <w:t>：（公章）</w:t>
      </w:r>
    </w:p>
    <w:p w14:paraId="7A89E733">
      <w:pPr>
        <w:adjustRightInd w:val="0"/>
        <w:snapToGrid w:val="0"/>
        <w:spacing w:line="360" w:lineRule="auto"/>
        <w:ind w:right="420" w:firstLine="4320" w:firstLineChars="18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授权代表（签字）：</w:t>
      </w:r>
    </w:p>
    <w:p w14:paraId="1D6095DC">
      <w:pPr>
        <w:adjustRightInd w:val="0"/>
        <w:snapToGrid w:val="0"/>
        <w:spacing w:line="360" w:lineRule="auto"/>
        <w:ind w:firstLine="4320" w:firstLineChars="180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5CBF73B9">
      <w:pPr>
        <w:pStyle w:val="17"/>
        <w:ind w:left="0" w:leftChars="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说明：本表格可视情形添加或删减。除表格外，可另附文字、图片等情况加以说明。</w:t>
      </w:r>
    </w:p>
    <w:p w14:paraId="4BA7C8CC">
      <w:pPr>
        <w:spacing w:line="400" w:lineRule="exact"/>
        <w:jc w:val="center"/>
        <w:rPr>
          <w:rFonts w:hint="eastAsia" w:ascii="仿宋" w:hAnsi="仿宋" w:eastAsia="仿宋" w:cs="仿宋"/>
          <w:b/>
          <w:color w:val="auto"/>
          <w:sz w:val="24"/>
          <w:szCs w:val="20"/>
          <w:highlight w:val="none"/>
        </w:rPr>
      </w:pPr>
    </w:p>
    <w:p w14:paraId="7557DAE7">
      <w:pPr>
        <w:spacing w:line="400" w:lineRule="exact"/>
        <w:jc w:val="center"/>
        <w:rPr>
          <w:rFonts w:hint="eastAsia" w:ascii="仿宋" w:hAnsi="仿宋" w:eastAsia="仿宋" w:cs="仿宋"/>
          <w:b/>
          <w:color w:val="auto"/>
          <w:sz w:val="24"/>
          <w:szCs w:val="20"/>
          <w:highlight w:val="none"/>
        </w:rPr>
      </w:pPr>
    </w:p>
    <w:p w14:paraId="44A4F565">
      <w:pPr>
        <w:pStyle w:val="24"/>
        <w:overflowPunct w:val="0"/>
        <w:snapToGrid w:val="0"/>
        <w:spacing w:line="360" w:lineRule="auto"/>
        <w:ind w:left="0" w:firstLine="0" w:firstLineChars="0"/>
        <w:rPr>
          <w:rFonts w:hint="eastAsia" w:ascii="仿宋" w:hAnsi="仿宋" w:eastAsia="仿宋" w:cs="仿宋"/>
          <w:b/>
          <w:color w:val="auto"/>
          <w:sz w:val="24"/>
          <w:szCs w:val="20"/>
          <w:highlight w:val="none"/>
        </w:rPr>
      </w:pPr>
    </w:p>
    <w:p w14:paraId="3BDCB80B">
      <w:pPr>
        <w:spacing w:line="400" w:lineRule="exact"/>
        <w:jc w:val="left"/>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3</w:t>
      </w:r>
      <w:r>
        <w:rPr>
          <w:rFonts w:hint="eastAsia" w:ascii="仿宋" w:hAnsi="仿宋" w:eastAsia="仿宋" w:cs="仿宋"/>
          <w:b/>
          <w:bCs/>
          <w:color w:val="auto"/>
          <w:sz w:val="28"/>
          <w:szCs w:val="28"/>
          <w:highlight w:val="none"/>
        </w:rPr>
        <w:t>、商务响应表</w:t>
      </w:r>
    </w:p>
    <w:p w14:paraId="345565C5">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商务响应表</w:t>
      </w:r>
    </w:p>
    <w:p w14:paraId="305092CF">
      <w:pPr>
        <w:spacing w:line="360" w:lineRule="auto"/>
        <w:jc w:val="center"/>
        <w:rPr>
          <w:rFonts w:hint="eastAsia" w:ascii="仿宋" w:hAnsi="仿宋" w:eastAsia="仿宋" w:cs="仿宋"/>
          <w:bCs/>
          <w:color w:val="auto"/>
          <w:sz w:val="24"/>
          <w:highlight w:val="none"/>
        </w:rPr>
      </w:pPr>
    </w:p>
    <w:p w14:paraId="451BFF1E">
      <w:pPr>
        <w:spacing w:after="156" w:afterLines="50" w:line="40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项目编号：             </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1718"/>
        <w:gridCol w:w="2645"/>
        <w:gridCol w:w="2190"/>
        <w:gridCol w:w="1499"/>
      </w:tblGrid>
      <w:tr w14:paraId="6AA35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883" w:type="dxa"/>
            <w:tcBorders>
              <w:top w:val="single" w:color="auto" w:sz="4" w:space="0"/>
              <w:left w:val="single" w:color="auto" w:sz="4" w:space="0"/>
              <w:bottom w:val="single" w:color="auto" w:sz="4" w:space="0"/>
              <w:right w:val="single" w:color="auto" w:sz="4" w:space="0"/>
            </w:tcBorders>
            <w:noWrap w:val="0"/>
            <w:vAlign w:val="center"/>
          </w:tcPr>
          <w:p w14:paraId="5052653A">
            <w:pPr>
              <w:kinsoku/>
              <w:wordWrap w:val="0"/>
              <w:overflowPunct/>
              <w:topLinePunct/>
              <w:spacing w:line="360" w:lineRule="auto"/>
              <w:jc w:val="center"/>
              <w:rPr>
                <w:rFonts w:hint="eastAsia" w:ascii="仿宋" w:hAnsi="仿宋" w:eastAsia="仿宋" w:cs="仿宋"/>
                <w:b/>
                <w:bCs w:val="0"/>
                <w:color w:val="auto"/>
                <w:highlight w:val="none"/>
              </w:rPr>
            </w:pPr>
            <w:r>
              <w:rPr>
                <w:rFonts w:hint="eastAsia" w:ascii="仿宋" w:hAnsi="仿宋" w:eastAsia="仿宋" w:cs="仿宋"/>
                <w:b/>
                <w:bCs w:val="0"/>
                <w:color w:val="auto"/>
                <w:highlight w:val="none"/>
              </w:rPr>
              <w:t>序号</w:t>
            </w:r>
          </w:p>
        </w:tc>
        <w:tc>
          <w:tcPr>
            <w:tcW w:w="1718" w:type="dxa"/>
            <w:tcBorders>
              <w:top w:val="single" w:color="auto" w:sz="4" w:space="0"/>
              <w:left w:val="single" w:color="auto" w:sz="4" w:space="0"/>
              <w:bottom w:val="single" w:color="auto" w:sz="4" w:space="0"/>
              <w:right w:val="single" w:color="auto" w:sz="4" w:space="0"/>
            </w:tcBorders>
            <w:noWrap w:val="0"/>
            <w:vAlign w:val="center"/>
          </w:tcPr>
          <w:p w14:paraId="2E6A0315">
            <w:pPr>
              <w:kinsoku/>
              <w:wordWrap w:val="0"/>
              <w:overflowPunct/>
              <w:topLinePunct/>
              <w:spacing w:line="360" w:lineRule="auto"/>
              <w:jc w:val="center"/>
              <w:rPr>
                <w:rFonts w:hint="eastAsia" w:ascii="仿宋" w:hAnsi="仿宋" w:eastAsia="仿宋" w:cs="仿宋"/>
                <w:b/>
                <w:bCs w:val="0"/>
                <w:color w:val="auto"/>
                <w:highlight w:val="none"/>
                <w:lang w:eastAsia="zh-CN"/>
              </w:rPr>
            </w:pPr>
            <w:r>
              <w:rPr>
                <w:rFonts w:hint="eastAsia" w:ascii="仿宋" w:hAnsi="仿宋" w:eastAsia="仿宋" w:cs="仿宋"/>
                <w:b/>
                <w:bCs w:val="0"/>
                <w:color w:val="auto"/>
                <w:highlight w:val="none"/>
                <w:lang w:val="en-US" w:eastAsia="zh-CN"/>
              </w:rPr>
              <w:t>项   目</w:t>
            </w:r>
          </w:p>
        </w:tc>
        <w:tc>
          <w:tcPr>
            <w:tcW w:w="2645" w:type="dxa"/>
            <w:tcBorders>
              <w:top w:val="single" w:color="auto" w:sz="4" w:space="0"/>
              <w:left w:val="single" w:color="auto" w:sz="4" w:space="0"/>
              <w:bottom w:val="single" w:color="auto" w:sz="4" w:space="0"/>
              <w:right w:val="single" w:color="auto" w:sz="4" w:space="0"/>
            </w:tcBorders>
            <w:noWrap w:val="0"/>
            <w:vAlign w:val="center"/>
          </w:tcPr>
          <w:p w14:paraId="18FCE642">
            <w:pPr>
              <w:autoSpaceDE w:val="0"/>
              <w:autoSpaceDN w:val="0"/>
              <w:jc w:val="center"/>
              <w:rPr>
                <w:rFonts w:hint="eastAsia" w:ascii="仿宋" w:hAnsi="仿宋" w:eastAsia="仿宋" w:cs="仿宋"/>
                <w:b/>
                <w:bCs w:val="0"/>
                <w:color w:val="auto"/>
                <w:kern w:val="2"/>
                <w:sz w:val="21"/>
                <w:szCs w:val="21"/>
                <w:highlight w:val="none"/>
                <w:lang w:val="zh-CN" w:eastAsia="zh-CN" w:bidi="ar-SA"/>
              </w:rPr>
            </w:pPr>
            <w:r>
              <w:rPr>
                <w:rFonts w:hint="eastAsia" w:ascii="仿宋" w:hAnsi="仿宋" w:eastAsia="仿宋" w:cs="仿宋"/>
                <w:b/>
                <w:bCs w:val="0"/>
                <w:color w:val="auto"/>
                <w:szCs w:val="21"/>
                <w:highlight w:val="none"/>
                <w:lang w:val="zh-CN"/>
              </w:rPr>
              <w:t>磋商文件要求</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0ACFD0E">
            <w:pPr>
              <w:autoSpaceDE w:val="0"/>
              <w:autoSpaceDN w:val="0"/>
              <w:jc w:val="center"/>
              <w:rPr>
                <w:rFonts w:hint="eastAsia" w:ascii="仿宋" w:hAnsi="仿宋" w:eastAsia="仿宋" w:cs="仿宋"/>
                <w:b/>
                <w:bCs w:val="0"/>
                <w:color w:val="auto"/>
                <w:kern w:val="2"/>
                <w:sz w:val="21"/>
                <w:szCs w:val="21"/>
                <w:highlight w:val="none"/>
                <w:lang w:val="zh-CN" w:eastAsia="zh-CN" w:bidi="ar-SA"/>
              </w:rPr>
            </w:pPr>
            <w:r>
              <w:rPr>
                <w:rFonts w:hint="eastAsia" w:ascii="仿宋" w:hAnsi="仿宋" w:eastAsia="仿宋" w:cs="仿宋"/>
                <w:b/>
                <w:bCs w:val="0"/>
                <w:color w:val="auto"/>
                <w:szCs w:val="21"/>
                <w:highlight w:val="none"/>
                <w:lang w:val="zh-CN"/>
              </w:rPr>
              <w:t>是否响应</w:t>
            </w:r>
          </w:p>
        </w:tc>
        <w:tc>
          <w:tcPr>
            <w:tcW w:w="1499" w:type="dxa"/>
            <w:tcBorders>
              <w:top w:val="single" w:color="auto" w:sz="4" w:space="0"/>
              <w:left w:val="single" w:color="auto" w:sz="4" w:space="0"/>
              <w:bottom w:val="single" w:color="auto" w:sz="4" w:space="0"/>
              <w:right w:val="single" w:color="auto" w:sz="4" w:space="0"/>
            </w:tcBorders>
            <w:noWrap w:val="0"/>
            <w:vAlign w:val="center"/>
          </w:tcPr>
          <w:p w14:paraId="2D1D9083">
            <w:pPr>
              <w:autoSpaceDE w:val="0"/>
              <w:autoSpaceDN w:val="0"/>
              <w:jc w:val="center"/>
              <w:rPr>
                <w:rFonts w:hint="eastAsia" w:ascii="仿宋" w:hAnsi="仿宋" w:eastAsia="仿宋" w:cs="仿宋"/>
                <w:b/>
                <w:bCs w:val="0"/>
                <w:color w:val="auto"/>
                <w:kern w:val="2"/>
                <w:sz w:val="21"/>
                <w:szCs w:val="21"/>
                <w:highlight w:val="none"/>
                <w:lang w:val="zh-CN" w:eastAsia="zh-CN" w:bidi="ar-SA"/>
              </w:rPr>
            </w:pPr>
            <w:r>
              <w:rPr>
                <w:rFonts w:hint="eastAsia" w:ascii="仿宋" w:hAnsi="仿宋" w:eastAsia="仿宋" w:cs="仿宋"/>
                <w:b/>
                <w:bCs w:val="0"/>
                <w:color w:val="auto"/>
                <w:szCs w:val="21"/>
                <w:highlight w:val="none"/>
                <w:lang w:val="en-US" w:eastAsia="zh-CN"/>
              </w:rPr>
              <w:t>备注</w:t>
            </w:r>
          </w:p>
        </w:tc>
      </w:tr>
      <w:tr w14:paraId="5B7E1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83" w:type="dxa"/>
            <w:tcBorders>
              <w:top w:val="single" w:color="auto" w:sz="4" w:space="0"/>
              <w:left w:val="single" w:color="auto" w:sz="4" w:space="0"/>
              <w:bottom w:val="single" w:color="auto" w:sz="4" w:space="0"/>
              <w:right w:val="single" w:color="auto" w:sz="4" w:space="0"/>
            </w:tcBorders>
            <w:noWrap w:val="0"/>
            <w:vAlign w:val="top"/>
          </w:tcPr>
          <w:p w14:paraId="46BFE071">
            <w:pPr>
              <w:kinsoku/>
              <w:wordWrap w:val="0"/>
              <w:overflowPunct/>
              <w:topLinePunct/>
              <w:spacing w:line="360" w:lineRule="auto"/>
              <w:jc w:val="center"/>
              <w:rPr>
                <w:rFonts w:hint="eastAsia" w:ascii="仿宋" w:hAnsi="仿宋" w:eastAsia="仿宋" w:cs="仿宋"/>
                <w:b/>
                <w:bCs w:val="0"/>
                <w:color w:val="auto"/>
                <w:highlight w:val="none"/>
              </w:rPr>
            </w:pPr>
            <w:r>
              <w:rPr>
                <w:rFonts w:hint="eastAsia" w:ascii="仿宋" w:hAnsi="仿宋" w:eastAsia="仿宋" w:cs="仿宋"/>
                <w:b/>
                <w:bCs w:val="0"/>
                <w:color w:val="auto"/>
                <w:highlight w:val="none"/>
              </w:rPr>
              <w:t>1</w:t>
            </w:r>
          </w:p>
        </w:tc>
        <w:tc>
          <w:tcPr>
            <w:tcW w:w="1718" w:type="dxa"/>
            <w:tcBorders>
              <w:top w:val="single" w:color="auto" w:sz="4" w:space="0"/>
              <w:left w:val="single" w:color="auto" w:sz="4" w:space="0"/>
              <w:bottom w:val="single" w:color="auto" w:sz="4" w:space="0"/>
              <w:right w:val="single" w:color="auto" w:sz="4" w:space="0"/>
            </w:tcBorders>
            <w:noWrap w:val="0"/>
            <w:vAlign w:val="center"/>
          </w:tcPr>
          <w:p w14:paraId="25A13403">
            <w:pPr>
              <w:widowControl/>
              <w:kinsoku/>
              <w:wordWrap w:val="0"/>
              <w:overflowPunct/>
              <w:topLinePunct/>
              <w:autoSpaceDE w:val="0"/>
              <w:autoSpaceDN w:val="0"/>
              <w:adjustRightInd w:val="0"/>
              <w:snapToGrid/>
              <w:spacing w:afterLines="0" w:line="400" w:lineRule="exact"/>
              <w:ind w:firstLine="0" w:firstLineChars="0"/>
              <w:jc w:val="left"/>
              <w:textAlignment w:val="auto"/>
              <w:rPr>
                <w:rFonts w:hint="eastAsia" w:ascii="仿宋" w:hAnsi="仿宋" w:eastAsia="仿宋" w:cs="仿宋"/>
                <w:b/>
                <w:bCs w:val="0"/>
                <w:color w:val="auto"/>
                <w:kern w:val="2"/>
                <w:sz w:val="24"/>
                <w:szCs w:val="24"/>
                <w:highlight w:val="none"/>
                <w:lang w:val="en-US" w:eastAsia="zh-CN" w:bidi="ar-SA"/>
              </w:rPr>
            </w:pPr>
            <w:r>
              <w:rPr>
                <w:rFonts w:hint="eastAsia" w:ascii="仿宋" w:hAnsi="仿宋" w:eastAsia="仿宋" w:cs="仿宋"/>
                <w:b/>
                <w:bCs w:val="0"/>
                <w:color w:val="auto"/>
                <w:kern w:val="2"/>
                <w:sz w:val="24"/>
                <w:szCs w:val="24"/>
                <w:highlight w:val="none"/>
                <w:lang w:val="en-US" w:eastAsia="zh-CN" w:bidi="ar-SA"/>
              </w:rPr>
              <w:t>服务期</w:t>
            </w:r>
          </w:p>
        </w:tc>
        <w:tc>
          <w:tcPr>
            <w:tcW w:w="2645" w:type="dxa"/>
            <w:tcBorders>
              <w:top w:val="single" w:color="auto" w:sz="4" w:space="0"/>
              <w:left w:val="single" w:color="auto" w:sz="4" w:space="0"/>
              <w:bottom w:val="single" w:color="auto" w:sz="4" w:space="0"/>
              <w:right w:val="single" w:color="auto" w:sz="4" w:space="0"/>
            </w:tcBorders>
            <w:noWrap w:val="0"/>
            <w:vAlign w:val="top"/>
          </w:tcPr>
          <w:p w14:paraId="66FFC684">
            <w:pPr>
              <w:kinsoku/>
              <w:wordWrap w:val="0"/>
              <w:overflowPunct/>
              <w:topLinePunct/>
              <w:spacing w:line="360" w:lineRule="auto"/>
              <w:ind w:firstLine="422" w:firstLineChars="200"/>
              <w:rPr>
                <w:rFonts w:hint="eastAsia" w:ascii="仿宋" w:hAnsi="仿宋" w:eastAsia="仿宋" w:cs="仿宋"/>
                <w:b/>
                <w:bCs w:val="0"/>
                <w:color w:val="auto"/>
                <w:highlight w:val="none"/>
              </w:rPr>
            </w:pPr>
          </w:p>
        </w:tc>
        <w:tc>
          <w:tcPr>
            <w:tcW w:w="2190" w:type="dxa"/>
            <w:tcBorders>
              <w:top w:val="single" w:color="auto" w:sz="4" w:space="0"/>
              <w:left w:val="single" w:color="auto" w:sz="4" w:space="0"/>
              <w:bottom w:val="single" w:color="auto" w:sz="4" w:space="0"/>
              <w:right w:val="single" w:color="auto" w:sz="4" w:space="0"/>
            </w:tcBorders>
            <w:noWrap w:val="0"/>
            <w:vAlign w:val="top"/>
          </w:tcPr>
          <w:p w14:paraId="24ED9C7A">
            <w:pPr>
              <w:kinsoku/>
              <w:wordWrap w:val="0"/>
              <w:overflowPunct/>
              <w:topLinePunct/>
              <w:spacing w:line="360" w:lineRule="auto"/>
              <w:ind w:firstLine="422" w:firstLineChars="200"/>
              <w:rPr>
                <w:rFonts w:hint="eastAsia" w:ascii="仿宋" w:hAnsi="仿宋" w:eastAsia="仿宋" w:cs="仿宋"/>
                <w:b/>
                <w:bCs w:val="0"/>
                <w:color w:val="auto"/>
                <w:highlight w:val="none"/>
              </w:rPr>
            </w:pPr>
          </w:p>
        </w:tc>
        <w:tc>
          <w:tcPr>
            <w:tcW w:w="1499" w:type="dxa"/>
            <w:tcBorders>
              <w:top w:val="single" w:color="auto" w:sz="4" w:space="0"/>
              <w:left w:val="single" w:color="auto" w:sz="4" w:space="0"/>
              <w:bottom w:val="single" w:color="auto" w:sz="4" w:space="0"/>
              <w:right w:val="single" w:color="auto" w:sz="4" w:space="0"/>
            </w:tcBorders>
            <w:noWrap w:val="0"/>
            <w:vAlign w:val="top"/>
          </w:tcPr>
          <w:p w14:paraId="72413331">
            <w:pPr>
              <w:kinsoku/>
              <w:wordWrap w:val="0"/>
              <w:overflowPunct/>
              <w:topLinePunct/>
              <w:spacing w:line="360" w:lineRule="auto"/>
              <w:ind w:firstLine="422" w:firstLineChars="200"/>
              <w:rPr>
                <w:rFonts w:hint="eastAsia" w:ascii="仿宋" w:hAnsi="仿宋" w:eastAsia="仿宋" w:cs="仿宋"/>
                <w:b/>
                <w:bCs w:val="0"/>
                <w:color w:val="auto"/>
                <w:highlight w:val="none"/>
              </w:rPr>
            </w:pPr>
          </w:p>
        </w:tc>
      </w:tr>
      <w:tr w14:paraId="7C303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883" w:type="dxa"/>
            <w:tcBorders>
              <w:top w:val="single" w:color="auto" w:sz="4" w:space="0"/>
              <w:left w:val="single" w:color="auto" w:sz="4" w:space="0"/>
              <w:bottom w:val="single" w:color="auto" w:sz="4" w:space="0"/>
              <w:right w:val="single" w:color="auto" w:sz="4" w:space="0"/>
            </w:tcBorders>
            <w:noWrap w:val="0"/>
            <w:vAlign w:val="top"/>
          </w:tcPr>
          <w:p w14:paraId="3B5383C3">
            <w:pPr>
              <w:kinsoku/>
              <w:wordWrap w:val="0"/>
              <w:overflowPunct/>
              <w:topLinePunct/>
              <w:spacing w:line="360" w:lineRule="auto"/>
              <w:jc w:val="center"/>
              <w:rPr>
                <w:rFonts w:hint="eastAsia" w:ascii="仿宋" w:hAnsi="仿宋" w:eastAsia="仿宋" w:cs="仿宋"/>
                <w:b/>
                <w:bCs w:val="0"/>
                <w:color w:val="auto"/>
                <w:highlight w:val="none"/>
              </w:rPr>
            </w:pPr>
            <w:r>
              <w:rPr>
                <w:rFonts w:hint="eastAsia" w:ascii="仿宋" w:hAnsi="仿宋" w:eastAsia="仿宋" w:cs="仿宋"/>
                <w:b/>
                <w:bCs w:val="0"/>
                <w:color w:val="auto"/>
                <w:highlight w:val="none"/>
              </w:rPr>
              <w:t>2</w:t>
            </w:r>
          </w:p>
        </w:tc>
        <w:tc>
          <w:tcPr>
            <w:tcW w:w="1718" w:type="dxa"/>
            <w:tcBorders>
              <w:top w:val="single" w:color="auto" w:sz="4" w:space="0"/>
              <w:left w:val="single" w:color="auto" w:sz="4" w:space="0"/>
              <w:bottom w:val="single" w:color="auto" w:sz="4" w:space="0"/>
              <w:right w:val="single" w:color="auto" w:sz="4" w:space="0"/>
            </w:tcBorders>
            <w:noWrap w:val="0"/>
            <w:vAlign w:val="center"/>
          </w:tcPr>
          <w:p w14:paraId="44F392A5">
            <w:pPr>
              <w:kinsoku/>
              <w:wordWrap w:val="0"/>
              <w:overflowPunct/>
              <w:topLinePunct/>
              <w:autoSpaceDE w:val="0"/>
              <w:autoSpaceDN w:val="0"/>
              <w:adjustRightInd w:val="0"/>
              <w:spacing w:afterLines="0" w:line="400" w:lineRule="exact"/>
              <w:jc w:val="left"/>
              <w:rPr>
                <w:rFonts w:hint="eastAsia" w:ascii="仿宋" w:hAnsi="仿宋" w:eastAsia="仿宋" w:cs="仿宋"/>
                <w:b/>
                <w:bCs w:val="0"/>
                <w:color w:val="auto"/>
                <w:kern w:val="2"/>
                <w:sz w:val="24"/>
                <w:szCs w:val="24"/>
                <w:highlight w:val="none"/>
                <w:lang w:val="en-US" w:eastAsia="zh-CN" w:bidi="ar-SA"/>
              </w:rPr>
            </w:pPr>
            <w:r>
              <w:rPr>
                <w:rFonts w:hint="eastAsia" w:ascii="仿宋" w:hAnsi="仿宋" w:eastAsia="仿宋" w:cs="仿宋"/>
                <w:b/>
                <w:bCs w:val="0"/>
                <w:iCs w:val="0"/>
                <w:color w:val="auto"/>
                <w:sz w:val="24"/>
                <w:szCs w:val="24"/>
                <w:highlight w:val="none"/>
              </w:rPr>
              <w:t>履约保证金</w:t>
            </w:r>
          </w:p>
        </w:tc>
        <w:tc>
          <w:tcPr>
            <w:tcW w:w="2645" w:type="dxa"/>
            <w:tcBorders>
              <w:top w:val="single" w:color="auto" w:sz="4" w:space="0"/>
              <w:left w:val="single" w:color="auto" w:sz="4" w:space="0"/>
              <w:bottom w:val="single" w:color="auto" w:sz="4" w:space="0"/>
              <w:right w:val="single" w:color="auto" w:sz="4" w:space="0"/>
            </w:tcBorders>
            <w:noWrap w:val="0"/>
            <w:vAlign w:val="top"/>
          </w:tcPr>
          <w:p w14:paraId="5CDAE0B3">
            <w:pPr>
              <w:kinsoku/>
              <w:wordWrap w:val="0"/>
              <w:overflowPunct/>
              <w:topLinePunct/>
              <w:spacing w:line="360" w:lineRule="auto"/>
              <w:ind w:firstLine="422" w:firstLineChars="200"/>
              <w:rPr>
                <w:rFonts w:hint="eastAsia" w:ascii="仿宋" w:hAnsi="仿宋" w:eastAsia="仿宋" w:cs="仿宋"/>
                <w:b/>
                <w:bCs w:val="0"/>
                <w:color w:val="auto"/>
                <w:highlight w:val="none"/>
              </w:rPr>
            </w:pPr>
          </w:p>
        </w:tc>
        <w:tc>
          <w:tcPr>
            <w:tcW w:w="2190" w:type="dxa"/>
            <w:tcBorders>
              <w:top w:val="single" w:color="auto" w:sz="4" w:space="0"/>
              <w:left w:val="single" w:color="auto" w:sz="4" w:space="0"/>
              <w:bottom w:val="single" w:color="auto" w:sz="4" w:space="0"/>
              <w:right w:val="single" w:color="auto" w:sz="4" w:space="0"/>
            </w:tcBorders>
            <w:noWrap w:val="0"/>
            <w:vAlign w:val="top"/>
          </w:tcPr>
          <w:p w14:paraId="1471E28D">
            <w:pPr>
              <w:kinsoku/>
              <w:wordWrap w:val="0"/>
              <w:overflowPunct/>
              <w:topLinePunct/>
              <w:spacing w:line="360" w:lineRule="auto"/>
              <w:ind w:firstLine="422" w:firstLineChars="200"/>
              <w:rPr>
                <w:rFonts w:hint="eastAsia" w:ascii="仿宋" w:hAnsi="仿宋" w:eastAsia="仿宋" w:cs="仿宋"/>
                <w:b/>
                <w:bCs w:val="0"/>
                <w:color w:val="auto"/>
                <w:highlight w:val="none"/>
              </w:rPr>
            </w:pPr>
          </w:p>
        </w:tc>
        <w:tc>
          <w:tcPr>
            <w:tcW w:w="1499" w:type="dxa"/>
            <w:tcBorders>
              <w:top w:val="single" w:color="auto" w:sz="4" w:space="0"/>
              <w:left w:val="single" w:color="auto" w:sz="4" w:space="0"/>
              <w:bottom w:val="single" w:color="auto" w:sz="4" w:space="0"/>
              <w:right w:val="single" w:color="auto" w:sz="4" w:space="0"/>
            </w:tcBorders>
            <w:noWrap w:val="0"/>
            <w:vAlign w:val="top"/>
          </w:tcPr>
          <w:p w14:paraId="0D9A09F4">
            <w:pPr>
              <w:kinsoku/>
              <w:wordWrap w:val="0"/>
              <w:overflowPunct/>
              <w:topLinePunct/>
              <w:spacing w:line="360" w:lineRule="auto"/>
              <w:ind w:firstLine="422" w:firstLineChars="200"/>
              <w:rPr>
                <w:rFonts w:hint="eastAsia" w:ascii="仿宋" w:hAnsi="仿宋" w:eastAsia="仿宋" w:cs="仿宋"/>
                <w:b/>
                <w:bCs w:val="0"/>
                <w:color w:val="auto"/>
                <w:highlight w:val="none"/>
              </w:rPr>
            </w:pPr>
          </w:p>
        </w:tc>
      </w:tr>
      <w:tr w14:paraId="2052D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883" w:type="dxa"/>
            <w:tcBorders>
              <w:top w:val="single" w:color="auto" w:sz="4" w:space="0"/>
              <w:left w:val="single" w:color="auto" w:sz="4" w:space="0"/>
              <w:bottom w:val="single" w:color="auto" w:sz="4" w:space="0"/>
              <w:right w:val="single" w:color="auto" w:sz="4" w:space="0"/>
            </w:tcBorders>
            <w:noWrap w:val="0"/>
            <w:vAlign w:val="top"/>
          </w:tcPr>
          <w:p w14:paraId="79474247">
            <w:pPr>
              <w:kinsoku/>
              <w:wordWrap w:val="0"/>
              <w:overflowPunct/>
              <w:topLinePunct/>
              <w:spacing w:line="360" w:lineRule="auto"/>
              <w:jc w:val="center"/>
              <w:rPr>
                <w:rFonts w:hint="eastAsia" w:ascii="仿宋" w:hAnsi="仿宋" w:eastAsia="仿宋" w:cs="仿宋"/>
                <w:b/>
                <w:bCs w:val="0"/>
                <w:color w:val="auto"/>
                <w:highlight w:val="none"/>
              </w:rPr>
            </w:pPr>
            <w:r>
              <w:rPr>
                <w:rFonts w:hint="eastAsia" w:ascii="仿宋" w:hAnsi="仿宋" w:eastAsia="仿宋" w:cs="仿宋"/>
                <w:b/>
                <w:bCs w:val="0"/>
                <w:color w:val="auto"/>
                <w:highlight w:val="none"/>
              </w:rPr>
              <w:t>3</w:t>
            </w:r>
          </w:p>
        </w:tc>
        <w:tc>
          <w:tcPr>
            <w:tcW w:w="1718" w:type="dxa"/>
            <w:tcBorders>
              <w:top w:val="single" w:color="auto" w:sz="4" w:space="0"/>
              <w:left w:val="single" w:color="auto" w:sz="4" w:space="0"/>
              <w:bottom w:val="single" w:color="auto" w:sz="4" w:space="0"/>
              <w:right w:val="single" w:color="auto" w:sz="4" w:space="0"/>
            </w:tcBorders>
            <w:noWrap w:val="0"/>
            <w:vAlign w:val="center"/>
          </w:tcPr>
          <w:p w14:paraId="62440F16">
            <w:pPr>
              <w:kinsoku/>
              <w:wordWrap w:val="0"/>
              <w:overflowPunct/>
              <w:topLinePunct/>
              <w:autoSpaceDE w:val="0"/>
              <w:autoSpaceDN w:val="0"/>
              <w:adjustRightInd w:val="0"/>
              <w:spacing w:afterLines="0" w:line="400" w:lineRule="exact"/>
              <w:jc w:val="left"/>
              <w:rPr>
                <w:rFonts w:hint="eastAsia" w:ascii="仿宋" w:hAnsi="仿宋" w:eastAsia="仿宋" w:cs="仿宋"/>
                <w:b/>
                <w:bCs w:val="0"/>
                <w:color w:val="auto"/>
                <w:kern w:val="2"/>
                <w:sz w:val="24"/>
                <w:szCs w:val="24"/>
                <w:highlight w:val="none"/>
                <w:lang w:val="en-US" w:eastAsia="zh-CN" w:bidi="ar-SA"/>
              </w:rPr>
            </w:pPr>
            <w:r>
              <w:rPr>
                <w:rFonts w:hint="eastAsia" w:ascii="仿宋" w:hAnsi="仿宋" w:eastAsia="仿宋" w:cs="仿宋"/>
                <w:b/>
                <w:bCs w:val="0"/>
                <w:color w:val="auto"/>
                <w:sz w:val="24"/>
                <w:highlight w:val="none"/>
              </w:rPr>
              <w:t>付款方式</w:t>
            </w:r>
          </w:p>
        </w:tc>
        <w:tc>
          <w:tcPr>
            <w:tcW w:w="2645" w:type="dxa"/>
            <w:tcBorders>
              <w:top w:val="single" w:color="auto" w:sz="4" w:space="0"/>
              <w:left w:val="single" w:color="auto" w:sz="4" w:space="0"/>
              <w:bottom w:val="single" w:color="auto" w:sz="4" w:space="0"/>
              <w:right w:val="single" w:color="auto" w:sz="4" w:space="0"/>
            </w:tcBorders>
            <w:noWrap w:val="0"/>
            <w:vAlign w:val="top"/>
          </w:tcPr>
          <w:p w14:paraId="7C4027EB">
            <w:pPr>
              <w:kinsoku/>
              <w:wordWrap w:val="0"/>
              <w:overflowPunct/>
              <w:topLinePunct/>
              <w:spacing w:line="360" w:lineRule="auto"/>
              <w:ind w:firstLine="422" w:firstLineChars="200"/>
              <w:rPr>
                <w:rFonts w:hint="eastAsia" w:ascii="仿宋" w:hAnsi="仿宋" w:eastAsia="仿宋" w:cs="仿宋"/>
                <w:b/>
                <w:bCs w:val="0"/>
                <w:color w:val="auto"/>
                <w:highlight w:val="none"/>
              </w:rPr>
            </w:pPr>
          </w:p>
        </w:tc>
        <w:tc>
          <w:tcPr>
            <w:tcW w:w="2190" w:type="dxa"/>
            <w:tcBorders>
              <w:top w:val="single" w:color="auto" w:sz="4" w:space="0"/>
              <w:left w:val="single" w:color="auto" w:sz="4" w:space="0"/>
              <w:bottom w:val="single" w:color="auto" w:sz="4" w:space="0"/>
              <w:right w:val="single" w:color="auto" w:sz="4" w:space="0"/>
            </w:tcBorders>
            <w:noWrap w:val="0"/>
            <w:vAlign w:val="top"/>
          </w:tcPr>
          <w:p w14:paraId="4AA028E5">
            <w:pPr>
              <w:kinsoku/>
              <w:wordWrap w:val="0"/>
              <w:overflowPunct/>
              <w:topLinePunct/>
              <w:spacing w:line="360" w:lineRule="auto"/>
              <w:ind w:firstLine="422" w:firstLineChars="200"/>
              <w:rPr>
                <w:rFonts w:hint="eastAsia" w:ascii="仿宋" w:hAnsi="仿宋" w:eastAsia="仿宋" w:cs="仿宋"/>
                <w:b/>
                <w:bCs w:val="0"/>
                <w:color w:val="auto"/>
                <w:highlight w:val="none"/>
              </w:rPr>
            </w:pPr>
          </w:p>
        </w:tc>
        <w:tc>
          <w:tcPr>
            <w:tcW w:w="1499" w:type="dxa"/>
            <w:tcBorders>
              <w:top w:val="single" w:color="auto" w:sz="4" w:space="0"/>
              <w:left w:val="single" w:color="auto" w:sz="4" w:space="0"/>
              <w:bottom w:val="single" w:color="auto" w:sz="4" w:space="0"/>
              <w:right w:val="single" w:color="auto" w:sz="4" w:space="0"/>
            </w:tcBorders>
            <w:noWrap w:val="0"/>
            <w:vAlign w:val="top"/>
          </w:tcPr>
          <w:p w14:paraId="67B0EB3E">
            <w:pPr>
              <w:kinsoku/>
              <w:wordWrap w:val="0"/>
              <w:overflowPunct/>
              <w:topLinePunct/>
              <w:spacing w:line="360" w:lineRule="auto"/>
              <w:ind w:firstLine="422" w:firstLineChars="200"/>
              <w:rPr>
                <w:rFonts w:hint="eastAsia" w:ascii="仿宋" w:hAnsi="仿宋" w:eastAsia="仿宋" w:cs="仿宋"/>
                <w:b/>
                <w:bCs w:val="0"/>
                <w:color w:val="auto"/>
                <w:highlight w:val="none"/>
              </w:rPr>
            </w:pPr>
          </w:p>
        </w:tc>
      </w:tr>
      <w:tr w14:paraId="1376511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83" w:type="dxa"/>
            <w:tcBorders>
              <w:left w:val="single" w:color="auto" w:sz="4" w:space="0"/>
            </w:tcBorders>
          </w:tcPr>
          <w:p w14:paraId="5C9C3093">
            <w:pPr>
              <w:spacing w:line="360" w:lineRule="auto"/>
              <w:ind w:firstLine="0" w:firstLineChars="0"/>
              <w:rPr>
                <w:rFonts w:hint="eastAsia" w:ascii="仿宋" w:hAnsi="仿宋" w:eastAsia="仿宋" w:cs="仿宋"/>
                <w:b/>
                <w:bCs w:val="0"/>
                <w:color w:val="auto"/>
                <w:sz w:val="24"/>
                <w:highlight w:val="none"/>
                <w:lang w:val="en-US" w:eastAsia="zh-CN"/>
              </w:rPr>
            </w:pPr>
            <w:r>
              <w:rPr>
                <w:rFonts w:hint="eastAsia" w:ascii="仿宋" w:hAnsi="仿宋" w:eastAsia="仿宋" w:cs="仿宋"/>
                <w:b/>
                <w:bCs w:val="0"/>
                <w:color w:val="auto"/>
                <w:sz w:val="24"/>
                <w:highlight w:val="none"/>
                <w:lang w:val="en-US" w:eastAsia="zh-CN"/>
              </w:rPr>
              <w:t xml:space="preserve"> ……</w:t>
            </w:r>
          </w:p>
        </w:tc>
        <w:tc>
          <w:tcPr>
            <w:tcW w:w="1718" w:type="dxa"/>
          </w:tcPr>
          <w:p w14:paraId="288F9740">
            <w:pPr>
              <w:spacing w:line="360" w:lineRule="auto"/>
              <w:ind w:firstLine="241" w:firstLineChars="100"/>
              <w:rPr>
                <w:rFonts w:hint="default" w:ascii="仿宋" w:hAnsi="仿宋" w:eastAsia="仿宋" w:cs="仿宋"/>
                <w:b/>
                <w:bCs w:val="0"/>
                <w:color w:val="auto"/>
                <w:sz w:val="24"/>
                <w:highlight w:val="none"/>
              </w:rPr>
            </w:pPr>
            <w:r>
              <w:rPr>
                <w:rFonts w:hint="eastAsia" w:ascii="仿宋" w:hAnsi="仿宋" w:eastAsia="仿宋" w:cs="仿宋"/>
                <w:b/>
                <w:bCs w:val="0"/>
                <w:color w:val="auto"/>
                <w:sz w:val="24"/>
                <w:highlight w:val="none"/>
                <w:lang w:val="en-US" w:eastAsia="zh-CN"/>
              </w:rPr>
              <w:t>……</w:t>
            </w:r>
          </w:p>
        </w:tc>
        <w:tc>
          <w:tcPr>
            <w:tcW w:w="2645" w:type="dxa"/>
          </w:tcPr>
          <w:p w14:paraId="3EB6A79A">
            <w:pPr>
              <w:spacing w:line="360" w:lineRule="auto"/>
              <w:ind w:firstLine="482" w:firstLineChars="200"/>
              <w:rPr>
                <w:rFonts w:hint="eastAsia" w:ascii="仿宋" w:hAnsi="仿宋" w:eastAsia="仿宋" w:cs="仿宋"/>
                <w:b/>
                <w:bCs w:val="0"/>
                <w:color w:val="auto"/>
                <w:sz w:val="24"/>
                <w:highlight w:val="none"/>
              </w:rPr>
            </w:pPr>
          </w:p>
        </w:tc>
        <w:tc>
          <w:tcPr>
            <w:tcW w:w="2190" w:type="dxa"/>
          </w:tcPr>
          <w:p w14:paraId="66A7AA49">
            <w:pPr>
              <w:spacing w:line="360" w:lineRule="auto"/>
              <w:ind w:firstLine="482" w:firstLineChars="200"/>
              <w:rPr>
                <w:rFonts w:hint="eastAsia" w:ascii="仿宋" w:hAnsi="仿宋" w:eastAsia="仿宋" w:cs="仿宋"/>
                <w:b/>
                <w:bCs w:val="0"/>
                <w:color w:val="auto"/>
                <w:sz w:val="24"/>
                <w:highlight w:val="none"/>
              </w:rPr>
            </w:pPr>
          </w:p>
        </w:tc>
        <w:tc>
          <w:tcPr>
            <w:tcW w:w="1499" w:type="dxa"/>
            <w:tcBorders>
              <w:right w:val="single" w:color="auto" w:sz="4" w:space="0"/>
            </w:tcBorders>
          </w:tcPr>
          <w:p w14:paraId="0F20464E">
            <w:pPr>
              <w:spacing w:line="360" w:lineRule="auto"/>
              <w:ind w:firstLine="482" w:firstLineChars="200"/>
              <w:rPr>
                <w:rFonts w:hint="eastAsia" w:ascii="仿宋" w:hAnsi="仿宋" w:eastAsia="仿宋" w:cs="仿宋"/>
                <w:b/>
                <w:bCs w:val="0"/>
                <w:color w:val="auto"/>
                <w:sz w:val="24"/>
                <w:highlight w:val="none"/>
              </w:rPr>
            </w:pPr>
          </w:p>
        </w:tc>
      </w:tr>
      <w:tr w14:paraId="1D9C4D9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83" w:type="dxa"/>
            <w:tcBorders>
              <w:left w:val="single" w:color="auto" w:sz="4" w:space="0"/>
              <w:bottom w:val="single" w:color="auto" w:sz="4" w:space="0"/>
            </w:tcBorders>
          </w:tcPr>
          <w:p w14:paraId="1D445589">
            <w:pPr>
              <w:spacing w:line="360" w:lineRule="auto"/>
              <w:ind w:firstLine="0" w:firstLineChars="0"/>
              <w:rPr>
                <w:rFonts w:hint="eastAsia" w:ascii="仿宋" w:hAnsi="仿宋" w:eastAsia="仿宋" w:cs="仿宋"/>
                <w:b/>
                <w:bCs w:val="0"/>
                <w:color w:val="auto"/>
                <w:sz w:val="24"/>
                <w:highlight w:val="none"/>
                <w:lang w:val="en-US" w:eastAsia="zh-CN"/>
              </w:rPr>
            </w:pPr>
          </w:p>
        </w:tc>
        <w:tc>
          <w:tcPr>
            <w:tcW w:w="1718" w:type="dxa"/>
            <w:tcBorders>
              <w:bottom w:val="single" w:color="auto" w:sz="4" w:space="0"/>
            </w:tcBorders>
          </w:tcPr>
          <w:p w14:paraId="73127D57">
            <w:pPr>
              <w:spacing w:line="360" w:lineRule="auto"/>
              <w:ind w:firstLine="0" w:firstLineChars="0"/>
              <w:rPr>
                <w:rFonts w:hint="eastAsia" w:ascii="仿宋" w:hAnsi="仿宋" w:eastAsia="仿宋" w:cs="仿宋"/>
                <w:b/>
                <w:bCs w:val="0"/>
                <w:color w:val="auto"/>
                <w:sz w:val="24"/>
                <w:highlight w:val="none"/>
                <w:lang w:val="en-US" w:eastAsia="zh-CN"/>
              </w:rPr>
            </w:pPr>
          </w:p>
        </w:tc>
        <w:tc>
          <w:tcPr>
            <w:tcW w:w="2645" w:type="dxa"/>
            <w:tcBorders>
              <w:bottom w:val="single" w:color="auto" w:sz="4" w:space="0"/>
            </w:tcBorders>
          </w:tcPr>
          <w:p w14:paraId="2829E4EB">
            <w:pPr>
              <w:spacing w:line="360" w:lineRule="auto"/>
              <w:ind w:firstLine="482" w:firstLineChars="200"/>
              <w:rPr>
                <w:rFonts w:hint="eastAsia" w:ascii="仿宋" w:hAnsi="仿宋" w:eastAsia="仿宋" w:cs="仿宋"/>
                <w:b/>
                <w:bCs w:val="0"/>
                <w:color w:val="auto"/>
                <w:sz w:val="24"/>
                <w:highlight w:val="none"/>
              </w:rPr>
            </w:pPr>
          </w:p>
        </w:tc>
        <w:tc>
          <w:tcPr>
            <w:tcW w:w="2190" w:type="dxa"/>
            <w:tcBorders>
              <w:bottom w:val="single" w:color="auto" w:sz="4" w:space="0"/>
            </w:tcBorders>
          </w:tcPr>
          <w:p w14:paraId="201AD5E4">
            <w:pPr>
              <w:spacing w:line="360" w:lineRule="auto"/>
              <w:ind w:firstLine="482" w:firstLineChars="200"/>
              <w:rPr>
                <w:rFonts w:hint="eastAsia" w:ascii="仿宋" w:hAnsi="仿宋" w:eastAsia="仿宋" w:cs="仿宋"/>
                <w:b/>
                <w:bCs w:val="0"/>
                <w:color w:val="auto"/>
                <w:sz w:val="24"/>
                <w:highlight w:val="none"/>
              </w:rPr>
            </w:pPr>
          </w:p>
        </w:tc>
        <w:tc>
          <w:tcPr>
            <w:tcW w:w="1499" w:type="dxa"/>
            <w:tcBorders>
              <w:bottom w:val="single" w:color="auto" w:sz="4" w:space="0"/>
              <w:right w:val="single" w:color="auto" w:sz="4" w:space="0"/>
            </w:tcBorders>
          </w:tcPr>
          <w:p w14:paraId="387FB3A0">
            <w:pPr>
              <w:spacing w:line="360" w:lineRule="auto"/>
              <w:ind w:firstLine="482" w:firstLineChars="200"/>
              <w:rPr>
                <w:rFonts w:hint="eastAsia" w:ascii="仿宋" w:hAnsi="仿宋" w:eastAsia="仿宋" w:cs="仿宋"/>
                <w:b/>
                <w:bCs w:val="0"/>
                <w:color w:val="auto"/>
                <w:sz w:val="24"/>
                <w:highlight w:val="none"/>
              </w:rPr>
            </w:pPr>
          </w:p>
        </w:tc>
      </w:tr>
    </w:tbl>
    <w:p w14:paraId="5A7F0E16">
      <w:pPr>
        <w:spacing w:line="340" w:lineRule="exact"/>
        <w:ind w:firstLine="480" w:firstLineChars="200"/>
        <w:rPr>
          <w:rFonts w:hint="eastAsia" w:ascii="仿宋" w:hAnsi="仿宋" w:eastAsia="仿宋" w:cs="仿宋"/>
          <w:color w:val="auto"/>
          <w:sz w:val="24"/>
          <w:highlight w:val="none"/>
        </w:rPr>
      </w:pPr>
    </w:p>
    <w:p w14:paraId="71201095">
      <w:pPr>
        <w:spacing w:line="360" w:lineRule="auto"/>
        <w:ind w:firstLine="4800" w:firstLineChars="20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供应商（盖章）：</w:t>
      </w:r>
    </w:p>
    <w:p w14:paraId="354DBC10">
      <w:pPr>
        <w:spacing w:line="360" w:lineRule="auto"/>
        <w:ind w:firstLine="4800" w:firstLineChars="20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授权代表（签字）：</w:t>
      </w:r>
    </w:p>
    <w:p w14:paraId="289C7F7A">
      <w:pPr>
        <w:pStyle w:val="15"/>
        <w:spacing w:before="0" w:beforeAutospacing="0" w:after="0" w:afterAutospacing="0" w:line="360" w:lineRule="auto"/>
        <w:ind w:firstLine="4800" w:firstLineChars="2000"/>
        <w:rPr>
          <w:rFonts w:hint="eastAsia" w:ascii="仿宋" w:hAnsi="仿宋" w:eastAsia="仿宋" w:cs="仿宋"/>
          <w:color w:val="auto"/>
          <w:highlight w:val="none"/>
        </w:rPr>
      </w:pPr>
      <w:r>
        <w:rPr>
          <w:rFonts w:hint="eastAsia" w:ascii="仿宋" w:hAnsi="仿宋" w:eastAsia="仿宋" w:cs="仿宋"/>
          <w:color w:val="auto"/>
          <w:kern w:val="2"/>
          <w:highlight w:val="none"/>
        </w:rPr>
        <w:t xml:space="preserve">日期：  </w:t>
      </w:r>
    </w:p>
    <w:p w14:paraId="08FCA5C7">
      <w:pPr>
        <w:kinsoku/>
        <w:wordWrap w:val="0"/>
        <w:overflowPunct/>
        <w:topLinePunct/>
        <w:spacing w:line="400" w:lineRule="exact"/>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注：1、本表格为</w:t>
      </w:r>
      <w:r>
        <w:rPr>
          <w:rFonts w:hint="eastAsia" w:ascii="仿宋" w:hAnsi="仿宋" w:eastAsia="仿宋" w:cs="仿宋"/>
          <w:bCs/>
          <w:color w:val="auto"/>
          <w:szCs w:val="21"/>
          <w:highlight w:val="none"/>
        </w:rPr>
        <w:t>商务要求中除报价以外的其他要求，不填写视同完全响应磋商文件要求。</w:t>
      </w:r>
      <w:r>
        <w:rPr>
          <w:rFonts w:hint="eastAsia" w:ascii="仿宋" w:hAnsi="仿宋" w:eastAsia="仿宋" w:cs="仿宋"/>
          <w:color w:val="auto"/>
          <w:szCs w:val="21"/>
          <w:highlight w:val="none"/>
        </w:rPr>
        <w:t>此表可在不改变格式的情况下可自行制作。</w:t>
      </w:r>
    </w:p>
    <w:p w14:paraId="3F2358DA">
      <w:pPr>
        <w:kinsoku/>
        <w:wordWrap w:val="0"/>
        <w:overflowPunct/>
        <w:topLinePunct/>
        <w:spacing w:line="4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2、备注栏填正偏离、负偏离或无偏离。</w:t>
      </w:r>
    </w:p>
    <w:p w14:paraId="5BB21C14">
      <w:pPr>
        <w:autoSpaceDE w:val="0"/>
        <w:autoSpaceDN w:val="0"/>
        <w:snapToGrid w:val="0"/>
        <w:spacing w:line="420" w:lineRule="exact"/>
        <w:textAlignment w:val="bottom"/>
        <w:rPr>
          <w:rFonts w:hint="eastAsia" w:ascii="仿宋" w:hAnsi="仿宋" w:eastAsia="仿宋" w:cs="仿宋"/>
          <w:color w:val="auto"/>
          <w:sz w:val="24"/>
          <w:highlight w:val="none"/>
        </w:rPr>
      </w:pPr>
    </w:p>
    <w:p w14:paraId="7661EC30">
      <w:pPr>
        <w:autoSpaceDE w:val="0"/>
        <w:autoSpaceDN w:val="0"/>
        <w:snapToGrid w:val="0"/>
        <w:spacing w:line="420" w:lineRule="exact"/>
        <w:textAlignment w:val="bottom"/>
        <w:rPr>
          <w:rFonts w:hint="eastAsia" w:ascii="仿宋" w:hAnsi="仿宋" w:eastAsia="仿宋" w:cs="仿宋"/>
          <w:color w:val="auto"/>
          <w:szCs w:val="21"/>
          <w:highlight w:val="none"/>
        </w:rPr>
      </w:pPr>
    </w:p>
    <w:p w14:paraId="0A780F4E">
      <w:pPr>
        <w:autoSpaceDE w:val="0"/>
        <w:autoSpaceDN w:val="0"/>
        <w:snapToGrid w:val="0"/>
        <w:spacing w:line="420" w:lineRule="exact"/>
        <w:textAlignment w:val="bottom"/>
        <w:rPr>
          <w:rFonts w:hint="eastAsia" w:ascii="仿宋" w:hAnsi="仿宋" w:eastAsia="仿宋" w:cs="仿宋"/>
          <w:color w:val="auto"/>
          <w:szCs w:val="21"/>
          <w:highlight w:val="none"/>
        </w:rPr>
      </w:pPr>
    </w:p>
    <w:p w14:paraId="59E0F3DC">
      <w:pPr>
        <w:autoSpaceDE w:val="0"/>
        <w:autoSpaceDN w:val="0"/>
        <w:snapToGrid w:val="0"/>
        <w:spacing w:line="420" w:lineRule="exact"/>
        <w:textAlignment w:val="bottom"/>
        <w:rPr>
          <w:rFonts w:hint="eastAsia" w:ascii="仿宋" w:hAnsi="仿宋" w:eastAsia="仿宋" w:cs="仿宋"/>
          <w:color w:val="auto"/>
          <w:szCs w:val="21"/>
          <w:highlight w:val="none"/>
        </w:rPr>
      </w:pPr>
    </w:p>
    <w:p w14:paraId="3DF56248">
      <w:pPr>
        <w:autoSpaceDE w:val="0"/>
        <w:autoSpaceDN w:val="0"/>
        <w:snapToGrid w:val="0"/>
        <w:spacing w:line="420" w:lineRule="exact"/>
        <w:textAlignment w:val="bottom"/>
        <w:rPr>
          <w:rFonts w:hint="eastAsia" w:ascii="仿宋" w:hAnsi="仿宋" w:eastAsia="仿宋" w:cs="仿宋"/>
          <w:color w:val="auto"/>
          <w:szCs w:val="21"/>
          <w:highlight w:val="none"/>
        </w:rPr>
      </w:pPr>
    </w:p>
    <w:p w14:paraId="65F52B16">
      <w:pPr>
        <w:autoSpaceDE w:val="0"/>
        <w:autoSpaceDN w:val="0"/>
        <w:snapToGrid w:val="0"/>
        <w:spacing w:line="420" w:lineRule="exact"/>
        <w:textAlignment w:val="bottom"/>
        <w:rPr>
          <w:rFonts w:hint="eastAsia" w:ascii="仿宋" w:hAnsi="仿宋" w:eastAsia="仿宋" w:cs="仿宋"/>
          <w:color w:val="auto"/>
          <w:szCs w:val="21"/>
          <w:highlight w:val="none"/>
        </w:rPr>
      </w:pPr>
    </w:p>
    <w:p w14:paraId="348E5B76">
      <w:pPr>
        <w:autoSpaceDE w:val="0"/>
        <w:autoSpaceDN w:val="0"/>
        <w:snapToGrid w:val="0"/>
        <w:spacing w:line="420" w:lineRule="exact"/>
        <w:textAlignment w:val="bottom"/>
        <w:rPr>
          <w:rFonts w:hint="eastAsia" w:ascii="仿宋" w:hAnsi="仿宋" w:eastAsia="仿宋" w:cs="仿宋"/>
          <w:color w:val="auto"/>
          <w:szCs w:val="21"/>
          <w:highlight w:val="none"/>
        </w:rPr>
      </w:pPr>
    </w:p>
    <w:p w14:paraId="7A6B5788">
      <w:pPr>
        <w:autoSpaceDE w:val="0"/>
        <w:autoSpaceDN w:val="0"/>
        <w:snapToGrid w:val="0"/>
        <w:spacing w:line="420" w:lineRule="exact"/>
        <w:textAlignment w:val="bottom"/>
        <w:rPr>
          <w:rFonts w:hint="eastAsia" w:ascii="仿宋" w:hAnsi="仿宋" w:eastAsia="仿宋" w:cs="仿宋"/>
          <w:color w:val="auto"/>
          <w:szCs w:val="21"/>
          <w:highlight w:val="none"/>
        </w:rPr>
      </w:pPr>
    </w:p>
    <w:p w14:paraId="1A8926B6">
      <w:pPr>
        <w:autoSpaceDE w:val="0"/>
        <w:autoSpaceDN w:val="0"/>
        <w:snapToGrid w:val="0"/>
        <w:spacing w:line="420" w:lineRule="exact"/>
        <w:textAlignment w:val="bottom"/>
        <w:rPr>
          <w:rFonts w:hint="eastAsia" w:ascii="仿宋" w:hAnsi="仿宋" w:eastAsia="仿宋" w:cs="仿宋"/>
          <w:color w:val="auto"/>
          <w:szCs w:val="21"/>
          <w:highlight w:val="none"/>
        </w:rPr>
      </w:pPr>
    </w:p>
    <w:p w14:paraId="718BCA9A">
      <w:pPr>
        <w:autoSpaceDE w:val="0"/>
        <w:autoSpaceDN w:val="0"/>
        <w:snapToGrid w:val="0"/>
        <w:spacing w:line="420" w:lineRule="exact"/>
        <w:textAlignment w:val="bottom"/>
        <w:rPr>
          <w:rFonts w:hint="eastAsia" w:ascii="仿宋" w:hAnsi="仿宋" w:eastAsia="仿宋" w:cs="仿宋"/>
          <w:color w:val="auto"/>
          <w:szCs w:val="21"/>
          <w:highlight w:val="none"/>
        </w:rPr>
      </w:pPr>
    </w:p>
    <w:p w14:paraId="3BAF0835">
      <w:pPr>
        <w:autoSpaceDE w:val="0"/>
        <w:autoSpaceDN w:val="0"/>
        <w:snapToGrid w:val="0"/>
        <w:spacing w:line="420" w:lineRule="exact"/>
        <w:textAlignment w:val="bottom"/>
        <w:rPr>
          <w:rFonts w:hint="eastAsia" w:ascii="仿宋" w:hAnsi="仿宋" w:eastAsia="仿宋" w:cs="仿宋"/>
          <w:color w:val="auto"/>
          <w:szCs w:val="21"/>
          <w:highlight w:val="none"/>
        </w:rPr>
      </w:pPr>
    </w:p>
    <w:p w14:paraId="6F9FF487">
      <w:pPr>
        <w:pStyle w:val="44"/>
        <w:rPr>
          <w:rFonts w:hint="eastAsia" w:ascii="仿宋" w:hAnsi="仿宋" w:eastAsia="仿宋" w:cs="仿宋"/>
          <w:color w:val="auto"/>
          <w:highlight w:val="none"/>
        </w:rPr>
      </w:pPr>
    </w:p>
    <w:p w14:paraId="525440DC">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3F80F1EC">
      <w:pPr>
        <w:pStyle w:val="24"/>
        <w:overflowPunct w:val="0"/>
        <w:snapToGrid w:val="0"/>
        <w:spacing w:line="360" w:lineRule="auto"/>
        <w:ind w:left="0" w:firstLine="0" w:firstLineChars="0"/>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4</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企业</w:t>
      </w:r>
      <w:r>
        <w:rPr>
          <w:rFonts w:hint="eastAsia" w:ascii="仿宋" w:hAnsi="仿宋" w:eastAsia="仿宋" w:cs="仿宋"/>
          <w:b/>
          <w:color w:val="auto"/>
          <w:sz w:val="28"/>
          <w:szCs w:val="28"/>
          <w:highlight w:val="none"/>
        </w:rPr>
        <w:t>业绩</w:t>
      </w:r>
    </w:p>
    <w:p w14:paraId="513C04D6">
      <w:pPr>
        <w:pStyle w:val="24"/>
        <w:overflowPunct w:val="0"/>
        <w:snapToGrid w:val="0"/>
        <w:spacing w:line="360" w:lineRule="auto"/>
        <w:ind w:left="0" w:firstLine="321" w:firstLineChars="10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企业</w:t>
      </w:r>
      <w:r>
        <w:rPr>
          <w:rFonts w:hint="eastAsia" w:ascii="仿宋" w:hAnsi="仿宋" w:eastAsia="仿宋" w:cs="仿宋"/>
          <w:b/>
          <w:bCs/>
          <w:color w:val="auto"/>
          <w:sz w:val="32"/>
          <w:szCs w:val="32"/>
          <w:highlight w:val="none"/>
        </w:rPr>
        <w:t>业绩</w:t>
      </w:r>
    </w:p>
    <w:p w14:paraId="18125EA9">
      <w:pPr>
        <w:pStyle w:val="24"/>
        <w:overflowPunct w:val="0"/>
        <w:snapToGrid w:val="0"/>
        <w:spacing w:line="360" w:lineRule="auto"/>
        <w:ind w:left="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                               项目编号：</w:t>
      </w:r>
    </w:p>
    <w:tbl>
      <w:tblPr>
        <w:tblStyle w:val="33"/>
        <w:tblW w:w="4992" w:type="pct"/>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910"/>
        <w:gridCol w:w="2025"/>
        <w:gridCol w:w="1298"/>
        <w:gridCol w:w="2572"/>
        <w:gridCol w:w="1656"/>
        <w:gridCol w:w="1485"/>
      </w:tblGrid>
      <w:tr w14:paraId="124F862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vAlign w:val="center"/>
          </w:tcPr>
          <w:p w14:paraId="4CDD152C">
            <w:pPr>
              <w:overflowPunct w:val="0"/>
              <w:spacing w:line="360" w:lineRule="auto"/>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序号</w:t>
            </w:r>
          </w:p>
        </w:tc>
        <w:tc>
          <w:tcPr>
            <w:tcW w:w="1017" w:type="pct"/>
            <w:tcBorders>
              <w:tl2br w:val="nil"/>
              <w:tr2bl w:val="nil"/>
            </w:tcBorders>
            <w:vAlign w:val="center"/>
          </w:tcPr>
          <w:p w14:paraId="154E58A2">
            <w:pPr>
              <w:overflowPunct w:val="0"/>
              <w:spacing w:line="360" w:lineRule="auto"/>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项目名称</w:t>
            </w:r>
          </w:p>
        </w:tc>
        <w:tc>
          <w:tcPr>
            <w:tcW w:w="652" w:type="pct"/>
            <w:tcBorders>
              <w:tl2br w:val="nil"/>
              <w:tr2bl w:val="nil"/>
            </w:tcBorders>
            <w:vAlign w:val="center"/>
          </w:tcPr>
          <w:p w14:paraId="5951E031">
            <w:pPr>
              <w:overflowPunct w:val="0"/>
              <w:spacing w:line="360" w:lineRule="auto"/>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项目实施时间</w:t>
            </w:r>
          </w:p>
        </w:tc>
        <w:tc>
          <w:tcPr>
            <w:tcW w:w="1292" w:type="pct"/>
            <w:tcBorders>
              <w:tl2br w:val="nil"/>
              <w:tr2bl w:val="nil"/>
            </w:tcBorders>
            <w:vAlign w:val="center"/>
          </w:tcPr>
          <w:p w14:paraId="52516496">
            <w:pPr>
              <w:overflowPunct w:val="0"/>
              <w:spacing w:line="360" w:lineRule="auto"/>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项目单位名称地址及联系方式</w:t>
            </w:r>
          </w:p>
        </w:tc>
        <w:tc>
          <w:tcPr>
            <w:tcW w:w="832" w:type="pct"/>
            <w:tcBorders>
              <w:tl2br w:val="nil"/>
              <w:tr2bl w:val="nil"/>
            </w:tcBorders>
            <w:vAlign w:val="center"/>
          </w:tcPr>
          <w:p w14:paraId="71190316">
            <w:pPr>
              <w:overflowPunct w:val="0"/>
              <w:spacing w:line="360" w:lineRule="auto"/>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项目合同金额（单位：万元）</w:t>
            </w:r>
          </w:p>
        </w:tc>
        <w:tc>
          <w:tcPr>
            <w:tcW w:w="746" w:type="pct"/>
            <w:tcBorders>
              <w:tl2br w:val="nil"/>
              <w:tr2bl w:val="nil"/>
            </w:tcBorders>
            <w:vAlign w:val="center"/>
          </w:tcPr>
          <w:p w14:paraId="58D39C5A">
            <w:pPr>
              <w:overflowPunct w:val="0"/>
              <w:spacing w:line="360" w:lineRule="auto"/>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项目获</w:t>
            </w:r>
          </w:p>
          <w:p w14:paraId="1FCF610F">
            <w:pPr>
              <w:overflowPunct w:val="0"/>
              <w:spacing w:line="360" w:lineRule="auto"/>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奖情况</w:t>
            </w:r>
          </w:p>
        </w:tc>
      </w:tr>
      <w:tr w14:paraId="5C346A0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6AF186C9">
            <w:pPr>
              <w:overflowPunct w:val="0"/>
              <w:spacing w:line="360" w:lineRule="auto"/>
              <w:rPr>
                <w:rFonts w:hint="eastAsia" w:ascii="仿宋" w:hAnsi="仿宋" w:eastAsia="仿宋" w:cs="仿宋"/>
                <w:bCs/>
                <w:color w:val="auto"/>
                <w:sz w:val="24"/>
                <w:highlight w:val="none"/>
              </w:rPr>
            </w:pPr>
          </w:p>
        </w:tc>
        <w:tc>
          <w:tcPr>
            <w:tcW w:w="1017" w:type="pct"/>
            <w:tcBorders>
              <w:tl2br w:val="nil"/>
              <w:tr2bl w:val="nil"/>
            </w:tcBorders>
          </w:tcPr>
          <w:p w14:paraId="6A51EA9E">
            <w:pPr>
              <w:overflowPunct w:val="0"/>
              <w:spacing w:line="360" w:lineRule="auto"/>
              <w:rPr>
                <w:rFonts w:hint="eastAsia" w:ascii="仿宋" w:hAnsi="仿宋" w:eastAsia="仿宋" w:cs="仿宋"/>
                <w:bCs/>
                <w:color w:val="auto"/>
                <w:sz w:val="24"/>
                <w:highlight w:val="none"/>
              </w:rPr>
            </w:pPr>
          </w:p>
        </w:tc>
        <w:tc>
          <w:tcPr>
            <w:tcW w:w="652" w:type="pct"/>
            <w:tcBorders>
              <w:tl2br w:val="nil"/>
              <w:tr2bl w:val="nil"/>
            </w:tcBorders>
          </w:tcPr>
          <w:p w14:paraId="50993C7D">
            <w:pPr>
              <w:overflowPunct w:val="0"/>
              <w:spacing w:line="360" w:lineRule="auto"/>
              <w:rPr>
                <w:rFonts w:hint="eastAsia" w:ascii="仿宋" w:hAnsi="仿宋" w:eastAsia="仿宋" w:cs="仿宋"/>
                <w:bCs/>
                <w:color w:val="auto"/>
                <w:sz w:val="24"/>
                <w:highlight w:val="none"/>
              </w:rPr>
            </w:pPr>
          </w:p>
        </w:tc>
        <w:tc>
          <w:tcPr>
            <w:tcW w:w="1292" w:type="pct"/>
            <w:tcBorders>
              <w:tl2br w:val="nil"/>
              <w:tr2bl w:val="nil"/>
            </w:tcBorders>
          </w:tcPr>
          <w:p w14:paraId="5E3F608F">
            <w:pPr>
              <w:overflowPunct w:val="0"/>
              <w:spacing w:line="360" w:lineRule="auto"/>
              <w:rPr>
                <w:rFonts w:hint="eastAsia" w:ascii="仿宋" w:hAnsi="仿宋" w:eastAsia="仿宋" w:cs="仿宋"/>
                <w:bCs/>
                <w:color w:val="auto"/>
                <w:sz w:val="24"/>
                <w:highlight w:val="none"/>
              </w:rPr>
            </w:pPr>
          </w:p>
        </w:tc>
        <w:tc>
          <w:tcPr>
            <w:tcW w:w="832" w:type="pct"/>
            <w:tcBorders>
              <w:tl2br w:val="nil"/>
              <w:tr2bl w:val="nil"/>
            </w:tcBorders>
          </w:tcPr>
          <w:p w14:paraId="5580B4AD">
            <w:pPr>
              <w:overflowPunct w:val="0"/>
              <w:spacing w:line="360" w:lineRule="auto"/>
              <w:rPr>
                <w:rFonts w:hint="eastAsia" w:ascii="仿宋" w:hAnsi="仿宋" w:eastAsia="仿宋" w:cs="仿宋"/>
                <w:bCs/>
                <w:color w:val="auto"/>
                <w:sz w:val="24"/>
                <w:highlight w:val="none"/>
              </w:rPr>
            </w:pPr>
          </w:p>
        </w:tc>
        <w:tc>
          <w:tcPr>
            <w:tcW w:w="746" w:type="pct"/>
            <w:tcBorders>
              <w:tl2br w:val="nil"/>
              <w:tr2bl w:val="nil"/>
            </w:tcBorders>
          </w:tcPr>
          <w:p w14:paraId="4C8CEB6E">
            <w:pPr>
              <w:overflowPunct w:val="0"/>
              <w:spacing w:line="360" w:lineRule="auto"/>
              <w:rPr>
                <w:rFonts w:hint="eastAsia" w:ascii="仿宋" w:hAnsi="仿宋" w:eastAsia="仿宋" w:cs="仿宋"/>
                <w:bCs/>
                <w:color w:val="auto"/>
                <w:sz w:val="24"/>
                <w:highlight w:val="none"/>
              </w:rPr>
            </w:pPr>
          </w:p>
        </w:tc>
      </w:tr>
      <w:tr w14:paraId="25447A4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4EF61129">
            <w:pPr>
              <w:overflowPunct w:val="0"/>
              <w:spacing w:line="360" w:lineRule="auto"/>
              <w:rPr>
                <w:rFonts w:hint="eastAsia" w:ascii="仿宋" w:hAnsi="仿宋" w:eastAsia="仿宋" w:cs="仿宋"/>
                <w:bCs/>
                <w:color w:val="auto"/>
                <w:sz w:val="24"/>
                <w:highlight w:val="none"/>
              </w:rPr>
            </w:pPr>
          </w:p>
        </w:tc>
        <w:tc>
          <w:tcPr>
            <w:tcW w:w="1017" w:type="pct"/>
            <w:tcBorders>
              <w:tl2br w:val="nil"/>
              <w:tr2bl w:val="nil"/>
            </w:tcBorders>
          </w:tcPr>
          <w:p w14:paraId="516E356B">
            <w:pPr>
              <w:overflowPunct w:val="0"/>
              <w:spacing w:line="360" w:lineRule="auto"/>
              <w:rPr>
                <w:rFonts w:hint="eastAsia" w:ascii="仿宋" w:hAnsi="仿宋" w:eastAsia="仿宋" w:cs="仿宋"/>
                <w:bCs/>
                <w:color w:val="auto"/>
                <w:sz w:val="24"/>
                <w:highlight w:val="none"/>
              </w:rPr>
            </w:pPr>
          </w:p>
        </w:tc>
        <w:tc>
          <w:tcPr>
            <w:tcW w:w="652" w:type="pct"/>
            <w:tcBorders>
              <w:tl2br w:val="nil"/>
              <w:tr2bl w:val="nil"/>
            </w:tcBorders>
          </w:tcPr>
          <w:p w14:paraId="3C0AA6F0">
            <w:pPr>
              <w:overflowPunct w:val="0"/>
              <w:spacing w:line="360" w:lineRule="auto"/>
              <w:rPr>
                <w:rFonts w:hint="eastAsia" w:ascii="仿宋" w:hAnsi="仿宋" w:eastAsia="仿宋" w:cs="仿宋"/>
                <w:bCs/>
                <w:color w:val="auto"/>
                <w:sz w:val="24"/>
                <w:highlight w:val="none"/>
              </w:rPr>
            </w:pPr>
          </w:p>
        </w:tc>
        <w:tc>
          <w:tcPr>
            <w:tcW w:w="1292" w:type="pct"/>
            <w:tcBorders>
              <w:tl2br w:val="nil"/>
              <w:tr2bl w:val="nil"/>
            </w:tcBorders>
          </w:tcPr>
          <w:p w14:paraId="62CFB2D9">
            <w:pPr>
              <w:overflowPunct w:val="0"/>
              <w:spacing w:line="360" w:lineRule="auto"/>
              <w:rPr>
                <w:rFonts w:hint="eastAsia" w:ascii="仿宋" w:hAnsi="仿宋" w:eastAsia="仿宋" w:cs="仿宋"/>
                <w:bCs/>
                <w:color w:val="auto"/>
                <w:sz w:val="24"/>
                <w:highlight w:val="none"/>
              </w:rPr>
            </w:pPr>
          </w:p>
        </w:tc>
        <w:tc>
          <w:tcPr>
            <w:tcW w:w="832" w:type="pct"/>
            <w:tcBorders>
              <w:tl2br w:val="nil"/>
              <w:tr2bl w:val="nil"/>
            </w:tcBorders>
          </w:tcPr>
          <w:p w14:paraId="60048BBA">
            <w:pPr>
              <w:overflowPunct w:val="0"/>
              <w:spacing w:line="360" w:lineRule="auto"/>
              <w:rPr>
                <w:rFonts w:hint="eastAsia" w:ascii="仿宋" w:hAnsi="仿宋" w:eastAsia="仿宋" w:cs="仿宋"/>
                <w:bCs/>
                <w:color w:val="auto"/>
                <w:sz w:val="24"/>
                <w:highlight w:val="none"/>
              </w:rPr>
            </w:pPr>
          </w:p>
        </w:tc>
        <w:tc>
          <w:tcPr>
            <w:tcW w:w="746" w:type="pct"/>
            <w:tcBorders>
              <w:tl2br w:val="nil"/>
              <w:tr2bl w:val="nil"/>
            </w:tcBorders>
          </w:tcPr>
          <w:p w14:paraId="449F2176">
            <w:pPr>
              <w:overflowPunct w:val="0"/>
              <w:spacing w:line="360" w:lineRule="auto"/>
              <w:rPr>
                <w:rFonts w:hint="eastAsia" w:ascii="仿宋" w:hAnsi="仿宋" w:eastAsia="仿宋" w:cs="仿宋"/>
                <w:bCs/>
                <w:color w:val="auto"/>
                <w:sz w:val="24"/>
                <w:highlight w:val="none"/>
              </w:rPr>
            </w:pPr>
          </w:p>
        </w:tc>
      </w:tr>
      <w:tr w14:paraId="0693707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01DE7C20">
            <w:pPr>
              <w:overflowPunct w:val="0"/>
              <w:spacing w:line="360" w:lineRule="auto"/>
              <w:rPr>
                <w:rFonts w:hint="eastAsia" w:ascii="仿宋" w:hAnsi="仿宋" w:eastAsia="仿宋" w:cs="仿宋"/>
                <w:bCs/>
                <w:color w:val="auto"/>
                <w:sz w:val="24"/>
                <w:highlight w:val="none"/>
              </w:rPr>
            </w:pPr>
          </w:p>
        </w:tc>
        <w:tc>
          <w:tcPr>
            <w:tcW w:w="1017" w:type="pct"/>
            <w:tcBorders>
              <w:tl2br w:val="nil"/>
              <w:tr2bl w:val="nil"/>
            </w:tcBorders>
          </w:tcPr>
          <w:p w14:paraId="75210114">
            <w:pPr>
              <w:overflowPunct w:val="0"/>
              <w:spacing w:line="360" w:lineRule="auto"/>
              <w:rPr>
                <w:rFonts w:hint="eastAsia" w:ascii="仿宋" w:hAnsi="仿宋" w:eastAsia="仿宋" w:cs="仿宋"/>
                <w:bCs/>
                <w:color w:val="auto"/>
                <w:sz w:val="24"/>
                <w:highlight w:val="none"/>
              </w:rPr>
            </w:pPr>
          </w:p>
        </w:tc>
        <w:tc>
          <w:tcPr>
            <w:tcW w:w="652" w:type="pct"/>
            <w:tcBorders>
              <w:tl2br w:val="nil"/>
              <w:tr2bl w:val="nil"/>
            </w:tcBorders>
          </w:tcPr>
          <w:p w14:paraId="1466D32A">
            <w:pPr>
              <w:overflowPunct w:val="0"/>
              <w:spacing w:line="360" w:lineRule="auto"/>
              <w:rPr>
                <w:rFonts w:hint="eastAsia" w:ascii="仿宋" w:hAnsi="仿宋" w:eastAsia="仿宋" w:cs="仿宋"/>
                <w:bCs/>
                <w:color w:val="auto"/>
                <w:sz w:val="24"/>
                <w:highlight w:val="none"/>
              </w:rPr>
            </w:pPr>
          </w:p>
        </w:tc>
        <w:tc>
          <w:tcPr>
            <w:tcW w:w="1292" w:type="pct"/>
            <w:tcBorders>
              <w:tl2br w:val="nil"/>
              <w:tr2bl w:val="nil"/>
            </w:tcBorders>
          </w:tcPr>
          <w:p w14:paraId="164A05E3">
            <w:pPr>
              <w:overflowPunct w:val="0"/>
              <w:spacing w:line="360" w:lineRule="auto"/>
              <w:rPr>
                <w:rFonts w:hint="eastAsia" w:ascii="仿宋" w:hAnsi="仿宋" w:eastAsia="仿宋" w:cs="仿宋"/>
                <w:bCs/>
                <w:color w:val="auto"/>
                <w:sz w:val="24"/>
                <w:highlight w:val="none"/>
              </w:rPr>
            </w:pPr>
          </w:p>
        </w:tc>
        <w:tc>
          <w:tcPr>
            <w:tcW w:w="832" w:type="pct"/>
            <w:tcBorders>
              <w:tl2br w:val="nil"/>
              <w:tr2bl w:val="nil"/>
            </w:tcBorders>
          </w:tcPr>
          <w:p w14:paraId="081F7133">
            <w:pPr>
              <w:overflowPunct w:val="0"/>
              <w:spacing w:line="360" w:lineRule="auto"/>
              <w:rPr>
                <w:rFonts w:hint="eastAsia" w:ascii="仿宋" w:hAnsi="仿宋" w:eastAsia="仿宋" w:cs="仿宋"/>
                <w:bCs/>
                <w:color w:val="auto"/>
                <w:sz w:val="24"/>
                <w:highlight w:val="none"/>
              </w:rPr>
            </w:pPr>
          </w:p>
        </w:tc>
        <w:tc>
          <w:tcPr>
            <w:tcW w:w="746" w:type="pct"/>
            <w:tcBorders>
              <w:tl2br w:val="nil"/>
              <w:tr2bl w:val="nil"/>
            </w:tcBorders>
          </w:tcPr>
          <w:p w14:paraId="245ADD0E">
            <w:pPr>
              <w:overflowPunct w:val="0"/>
              <w:spacing w:line="360" w:lineRule="auto"/>
              <w:rPr>
                <w:rFonts w:hint="eastAsia" w:ascii="仿宋" w:hAnsi="仿宋" w:eastAsia="仿宋" w:cs="仿宋"/>
                <w:bCs/>
                <w:color w:val="auto"/>
                <w:sz w:val="24"/>
                <w:highlight w:val="none"/>
              </w:rPr>
            </w:pPr>
          </w:p>
        </w:tc>
      </w:tr>
      <w:tr w14:paraId="4059D3D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4EEFC827">
            <w:pPr>
              <w:overflowPunct w:val="0"/>
              <w:spacing w:line="360" w:lineRule="auto"/>
              <w:rPr>
                <w:rFonts w:hint="eastAsia" w:ascii="仿宋" w:hAnsi="仿宋" w:eastAsia="仿宋" w:cs="仿宋"/>
                <w:bCs/>
                <w:color w:val="auto"/>
                <w:sz w:val="24"/>
                <w:highlight w:val="none"/>
              </w:rPr>
            </w:pPr>
          </w:p>
        </w:tc>
        <w:tc>
          <w:tcPr>
            <w:tcW w:w="1017" w:type="pct"/>
            <w:tcBorders>
              <w:tl2br w:val="nil"/>
              <w:tr2bl w:val="nil"/>
            </w:tcBorders>
          </w:tcPr>
          <w:p w14:paraId="11B717C2">
            <w:pPr>
              <w:overflowPunct w:val="0"/>
              <w:spacing w:line="360" w:lineRule="auto"/>
              <w:rPr>
                <w:rFonts w:hint="eastAsia" w:ascii="仿宋" w:hAnsi="仿宋" w:eastAsia="仿宋" w:cs="仿宋"/>
                <w:bCs/>
                <w:color w:val="auto"/>
                <w:sz w:val="24"/>
                <w:highlight w:val="none"/>
              </w:rPr>
            </w:pPr>
          </w:p>
        </w:tc>
        <w:tc>
          <w:tcPr>
            <w:tcW w:w="652" w:type="pct"/>
            <w:tcBorders>
              <w:tl2br w:val="nil"/>
              <w:tr2bl w:val="nil"/>
            </w:tcBorders>
          </w:tcPr>
          <w:p w14:paraId="38CC4DCC">
            <w:pPr>
              <w:overflowPunct w:val="0"/>
              <w:spacing w:line="360" w:lineRule="auto"/>
              <w:rPr>
                <w:rFonts w:hint="eastAsia" w:ascii="仿宋" w:hAnsi="仿宋" w:eastAsia="仿宋" w:cs="仿宋"/>
                <w:bCs/>
                <w:color w:val="auto"/>
                <w:sz w:val="24"/>
                <w:highlight w:val="none"/>
              </w:rPr>
            </w:pPr>
          </w:p>
        </w:tc>
        <w:tc>
          <w:tcPr>
            <w:tcW w:w="1292" w:type="pct"/>
            <w:tcBorders>
              <w:tl2br w:val="nil"/>
              <w:tr2bl w:val="nil"/>
            </w:tcBorders>
          </w:tcPr>
          <w:p w14:paraId="76293BC8">
            <w:pPr>
              <w:overflowPunct w:val="0"/>
              <w:spacing w:line="360" w:lineRule="auto"/>
              <w:rPr>
                <w:rFonts w:hint="eastAsia" w:ascii="仿宋" w:hAnsi="仿宋" w:eastAsia="仿宋" w:cs="仿宋"/>
                <w:bCs/>
                <w:color w:val="auto"/>
                <w:sz w:val="24"/>
                <w:highlight w:val="none"/>
              </w:rPr>
            </w:pPr>
          </w:p>
        </w:tc>
        <w:tc>
          <w:tcPr>
            <w:tcW w:w="832" w:type="pct"/>
            <w:tcBorders>
              <w:tl2br w:val="nil"/>
              <w:tr2bl w:val="nil"/>
            </w:tcBorders>
          </w:tcPr>
          <w:p w14:paraId="212F7CDB">
            <w:pPr>
              <w:overflowPunct w:val="0"/>
              <w:spacing w:line="360" w:lineRule="auto"/>
              <w:rPr>
                <w:rFonts w:hint="eastAsia" w:ascii="仿宋" w:hAnsi="仿宋" w:eastAsia="仿宋" w:cs="仿宋"/>
                <w:bCs/>
                <w:color w:val="auto"/>
                <w:sz w:val="24"/>
                <w:highlight w:val="none"/>
              </w:rPr>
            </w:pPr>
          </w:p>
        </w:tc>
        <w:tc>
          <w:tcPr>
            <w:tcW w:w="746" w:type="pct"/>
            <w:tcBorders>
              <w:tl2br w:val="nil"/>
              <w:tr2bl w:val="nil"/>
            </w:tcBorders>
          </w:tcPr>
          <w:p w14:paraId="4A1D451D">
            <w:pPr>
              <w:overflowPunct w:val="0"/>
              <w:spacing w:line="360" w:lineRule="auto"/>
              <w:rPr>
                <w:rFonts w:hint="eastAsia" w:ascii="仿宋" w:hAnsi="仿宋" w:eastAsia="仿宋" w:cs="仿宋"/>
                <w:bCs/>
                <w:color w:val="auto"/>
                <w:sz w:val="24"/>
                <w:highlight w:val="none"/>
              </w:rPr>
            </w:pPr>
          </w:p>
        </w:tc>
      </w:tr>
      <w:tr w14:paraId="5425952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6EA6B678">
            <w:pPr>
              <w:overflowPunct w:val="0"/>
              <w:spacing w:line="360" w:lineRule="auto"/>
              <w:rPr>
                <w:rFonts w:hint="eastAsia" w:ascii="仿宋" w:hAnsi="仿宋" w:eastAsia="仿宋" w:cs="仿宋"/>
                <w:bCs/>
                <w:color w:val="auto"/>
                <w:sz w:val="24"/>
                <w:highlight w:val="none"/>
              </w:rPr>
            </w:pPr>
          </w:p>
        </w:tc>
        <w:tc>
          <w:tcPr>
            <w:tcW w:w="1017" w:type="pct"/>
            <w:tcBorders>
              <w:tl2br w:val="nil"/>
              <w:tr2bl w:val="nil"/>
            </w:tcBorders>
          </w:tcPr>
          <w:p w14:paraId="05FB7E0B">
            <w:pPr>
              <w:overflowPunct w:val="0"/>
              <w:spacing w:line="360" w:lineRule="auto"/>
              <w:rPr>
                <w:rFonts w:hint="eastAsia" w:ascii="仿宋" w:hAnsi="仿宋" w:eastAsia="仿宋" w:cs="仿宋"/>
                <w:bCs/>
                <w:color w:val="auto"/>
                <w:sz w:val="24"/>
                <w:highlight w:val="none"/>
              </w:rPr>
            </w:pPr>
          </w:p>
        </w:tc>
        <w:tc>
          <w:tcPr>
            <w:tcW w:w="652" w:type="pct"/>
            <w:tcBorders>
              <w:tl2br w:val="nil"/>
              <w:tr2bl w:val="nil"/>
            </w:tcBorders>
          </w:tcPr>
          <w:p w14:paraId="001459F8">
            <w:pPr>
              <w:overflowPunct w:val="0"/>
              <w:spacing w:line="360" w:lineRule="auto"/>
              <w:rPr>
                <w:rFonts w:hint="eastAsia" w:ascii="仿宋" w:hAnsi="仿宋" w:eastAsia="仿宋" w:cs="仿宋"/>
                <w:bCs/>
                <w:color w:val="auto"/>
                <w:sz w:val="24"/>
                <w:highlight w:val="none"/>
              </w:rPr>
            </w:pPr>
          </w:p>
        </w:tc>
        <w:tc>
          <w:tcPr>
            <w:tcW w:w="1292" w:type="pct"/>
            <w:tcBorders>
              <w:tl2br w:val="nil"/>
              <w:tr2bl w:val="nil"/>
            </w:tcBorders>
          </w:tcPr>
          <w:p w14:paraId="4E682130">
            <w:pPr>
              <w:overflowPunct w:val="0"/>
              <w:spacing w:line="360" w:lineRule="auto"/>
              <w:rPr>
                <w:rFonts w:hint="eastAsia" w:ascii="仿宋" w:hAnsi="仿宋" w:eastAsia="仿宋" w:cs="仿宋"/>
                <w:bCs/>
                <w:color w:val="auto"/>
                <w:sz w:val="24"/>
                <w:highlight w:val="none"/>
              </w:rPr>
            </w:pPr>
          </w:p>
        </w:tc>
        <w:tc>
          <w:tcPr>
            <w:tcW w:w="832" w:type="pct"/>
            <w:tcBorders>
              <w:tl2br w:val="nil"/>
              <w:tr2bl w:val="nil"/>
            </w:tcBorders>
          </w:tcPr>
          <w:p w14:paraId="18059225">
            <w:pPr>
              <w:overflowPunct w:val="0"/>
              <w:spacing w:line="360" w:lineRule="auto"/>
              <w:rPr>
                <w:rFonts w:hint="eastAsia" w:ascii="仿宋" w:hAnsi="仿宋" w:eastAsia="仿宋" w:cs="仿宋"/>
                <w:bCs/>
                <w:color w:val="auto"/>
                <w:sz w:val="24"/>
                <w:highlight w:val="none"/>
              </w:rPr>
            </w:pPr>
          </w:p>
        </w:tc>
        <w:tc>
          <w:tcPr>
            <w:tcW w:w="746" w:type="pct"/>
            <w:tcBorders>
              <w:tl2br w:val="nil"/>
              <w:tr2bl w:val="nil"/>
            </w:tcBorders>
          </w:tcPr>
          <w:p w14:paraId="40C262CD">
            <w:pPr>
              <w:overflowPunct w:val="0"/>
              <w:spacing w:line="360" w:lineRule="auto"/>
              <w:rPr>
                <w:rFonts w:hint="eastAsia" w:ascii="仿宋" w:hAnsi="仿宋" w:eastAsia="仿宋" w:cs="仿宋"/>
                <w:bCs/>
                <w:color w:val="auto"/>
                <w:sz w:val="24"/>
                <w:highlight w:val="none"/>
              </w:rPr>
            </w:pPr>
          </w:p>
        </w:tc>
      </w:tr>
      <w:tr w14:paraId="18E8DC3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389930A3">
            <w:pPr>
              <w:overflowPunct w:val="0"/>
              <w:spacing w:line="360" w:lineRule="auto"/>
              <w:rPr>
                <w:rFonts w:hint="eastAsia" w:ascii="仿宋" w:hAnsi="仿宋" w:eastAsia="仿宋" w:cs="仿宋"/>
                <w:bCs/>
                <w:color w:val="auto"/>
                <w:sz w:val="24"/>
                <w:highlight w:val="none"/>
              </w:rPr>
            </w:pPr>
          </w:p>
        </w:tc>
        <w:tc>
          <w:tcPr>
            <w:tcW w:w="1017" w:type="pct"/>
            <w:tcBorders>
              <w:tl2br w:val="nil"/>
              <w:tr2bl w:val="nil"/>
            </w:tcBorders>
          </w:tcPr>
          <w:p w14:paraId="2AF266B6">
            <w:pPr>
              <w:overflowPunct w:val="0"/>
              <w:spacing w:line="360" w:lineRule="auto"/>
              <w:rPr>
                <w:rFonts w:hint="eastAsia" w:ascii="仿宋" w:hAnsi="仿宋" w:eastAsia="仿宋" w:cs="仿宋"/>
                <w:bCs/>
                <w:color w:val="auto"/>
                <w:sz w:val="24"/>
                <w:highlight w:val="none"/>
              </w:rPr>
            </w:pPr>
          </w:p>
        </w:tc>
        <w:tc>
          <w:tcPr>
            <w:tcW w:w="652" w:type="pct"/>
            <w:tcBorders>
              <w:tl2br w:val="nil"/>
              <w:tr2bl w:val="nil"/>
            </w:tcBorders>
          </w:tcPr>
          <w:p w14:paraId="21E1DB15">
            <w:pPr>
              <w:overflowPunct w:val="0"/>
              <w:spacing w:line="360" w:lineRule="auto"/>
              <w:rPr>
                <w:rFonts w:hint="eastAsia" w:ascii="仿宋" w:hAnsi="仿宋" w:eastAsia="仿宋" w:cs="仿宋"/>
                <w:bCs/>
                <w:color w:val="auto"/>
                <w:sz w:val="24"/>
                <w:highlight w:val="none"/>
              </w:rPr>
            </w:pPr>
          </w:p>
        </w:tc>
        <w:tc>
          <w:tcPr>
            <w:tcW w:w="1292" w:type="pct"/>
            <w:tcBorders>
              <w:tl2br w:val="nil"/>
              <w:tr2bl w:val="nil"/>
            </w:tcBorders>
          </w:tcPr>
          <w:p w14:paraId="78382E65">
            <w:pPr>
              <w:overflowPunct w:val="0"/>
              <w:spacing w:line="360" w:lineRule="auto"/>
              <w:rPr>
                <w:rFonts w:hint="eastAsia" w:ascii="仿宋" w:hAnsi="仿宋" w:eastAsia="仿宋" w:cs="仿宋"/>
                <w:bCs/>
                <w:color w:val="auto"/>
                <w:sz w:val="24"/>
                <w:highlight w:val="none"/>
              </w:rPr>
            </w:pPr>
          </w:p>
        </w:tc>
        <w:tc>
          <w:tcPr>
            <w:tcW w:w="832" w:type="pct"/>
            <w:tcBorders>
              <w:tl2br w:val="nil"/>
              <w:tr2bl w:val="nil"/>
            </w:tcBorders>
          </w:tcPr>
          <w:p w14:paraId="17998384">
            <w:pPr>
              <w:overflowPunct w:val="0"/>
              <w:spacing w:line="360" w:lineRule="auto"/>
              <w:rPr>
                <w:rFonts w:hint="eastAsia" w:ascii="仿宋" w:hAnsi="仿宋" w:eastAsia="仿宋" w:cs="仿宋"/>
                <w:bCs/>
                <w:color w:val="auto"/>
                <w:sz w:val="24"/>
                <w:highlight w:val="none"/>
              </w:rPr>
            </w:pPr>
          </w:p>
        </w:tc>
        <w:tc>
          <w:tcPr>
            <w:tcW w:w="746" w:type="pct"/>
            <w:tcBorders>
              <w:tl2br w:val="nil"/>
              <w:tr2bl w:val="nil"/>
            </w:tcBorders>
          </w:tcPr>
          <w:p w14:paraId="122265A4">
            <w:pPr>
              <w:overflowPunct w:val="0"/>
              <w:spacing w:line="360" w:lineRule="auto"/>
              <w:rPr>
                <w:rFonts w:hint="eastAsia" w:ascii="仿宋" w:hAnsi="仿宋" w:eastAsia="仿宋" w:cs="仿宋"/>
                <w:bCs/>
                <w:color w:val="auto"/>
                <w:sz w:val="24"/>
                <w:highlight w:val="none"/>
              </w:rPr>
            </w:pPr>
          </w:p>
        </w:tc>
      </w:tr>
      <w:tr w14:paraId="40AC4D3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07BB925A">
            <w:pPr>
              <w:overflowPunct w:val="0"/>
              <w:spacing w:line="360" w:lineRule="auto"/>
              <w:rPr>
                <w:rFonts w:hint="eastAsia" w:ascii="仿宋" w:hAnsi="仿宋" w:eastAsia="仿宋" w:cs="仿宋"/>
                <w:bCs/>
                <w:color w:val="auto"/>
                <w:sz w:val="24"/>
                <w:highlight w:val="none"/>
              </w:rPr>
            </w:pPr>
          </w:p>
        </w:tc>
        <w:tc>
          <w:tcPr>
            <w:tcW w:w="1017" w:type="pct"/>
            <w:tcBorders>
              <w:tl2br w:val="nil"/>
              <w:tr2bl w:val="nil"/>
            </w:tcBorders>
          </w:tcPr>
          <w:p w14:paraId="13E9A09D">
            <w:pPr>
              <w:overflowPunct w:val="0"/>
              <w:spacing w:line="360" w:lineRule="auto"/>
              <w:rPr>
                <w:rFonts w:hint="eastAsia" w:ascii="仿宋" w:hAnsi="仿宋" w:eastAsia="仿宋" w:cs="仿宋"/>
                <w:bCs/>
                <w:color w:val="auto"/>
                <w:sz w:val="24"/>
                <w:highlight w:val="none"/>
              </w:rPr>
            </w:pPr>
          </w:p>
        </w:tc>
        <w:tc>
          <w:tcPr>
            <w:tcW w:w="652" w:type="pct"/>
            <w:tcBorders>
              <w:tl2br w:val="nil"/>
              <w:tr2bl w:val="nil"/>
            </w:tcBorders>
          </w:tcPr>
          <w:p w14:paraId="62594A37">
            <w:pPr>
              <w:overflowPunct w:val="0"/>
              <w:spacing w:line="360" w:lineRule="auto"/>
              <w:rPr>
                <w:rFonts w:hint="eastAsia" w:ascii="仿宋" w:hAnsi="仿宋" w:eastAsia="仿宋" w:cs="仿宋"/>
                <w:bCs/>
                <w:color w:val="auto"/>
                <w:sz w:val="24"/>
                <w:highlight w:val="none"/>
              </w:rPr>
            </w:pPr>
          </w:p>
        </w:tc>
        <w:tc>
          <w:tcPr>
            <w:tcW w:w="1292" w:type="pct"/>
            <w:tcBorders>
              <w:tl2br w:val="nil"/>
              <w:tr2bl w:val="nil"/>
            </w:tcBorders>
          </w:tcPr>
          <w:p w14:paraId="640D6AA3">
            <w:pPr>
              <w:overflowPunct w:val="0"/>
              <w:spacing w:line="360" w:lineRule="auto"/>
              <w:rPr>
                <w:rFonts w:hint="eastAsia" w:ascii="仿宋" w:hAnsi="仿宋" w:eastAsia="仿宋" w:cs="仿宋"/>
                <w:bCs/>
                <w:color w:val="auto"/>
                <w:sz w:val="24"/>
                <w:highlight w:val="none"/>
              </w:rPr>
            </w:pPr>
          </w:p>
        </w:tc>
        <w:tc>
          <w:tcPr>
            <w:tcW w:w="832" w:type="pct"/>
            <w:tcBorders>
              <w:tl2br w:val="nil"/>
              <w:tr2bl w:val="nil"/>
            </w:tcBorders>
          </w:tcPr>
          <w:p w14:paraId="102F29F7">
            <w:pPr>
              <w:overflowPunct w:val="0"/>
              <w:spacing w:line="360" w:lineRule="auto"/>
              <w:rPr>
                <w:rFonts w:hint="eastAsia" w:ascii="仿宋" w:hAnsi="仿宋" w:eastAsia="仿宋" w:cs="仿宋"/>
                <w:bCs/>
                <w:color w:val="auto"/>
                <w:sz w:val="24"/>
                <w:highlight w:val="none"/>
              </w:rPr>
            </w:pPr>
          </w:p>
        </w:tc>
        <w:tc>
          <w:tcPr>
            <w:tcW w:w="746" w:type="pct"/>
            <w:tcBorders>
              <w:tl2br w:val="nil"/>
              <w:tr2bl w:val="nil"/>
            </w:tcBorders>
          </w:tcPr>
          <w:p w14:paraId="37C536C3">
            <w:pPr>
              <w:overflowPunct w:val="0"/>
              <w:spacing w:line="360" w:lineRule="auto"/>
              <w:rPr>
                <w:rFonts w:hint="eastAsia" w:ascii="仿宋" w:hAnsi="仿宋" w:eastAsia="仿宋" w:cs="仿宋"/>
                <w:bCs/>
                <w:color w:val="auto"/>
                <w:sz w:val="24"/>
                <w:highlight w:val="none"/>
              </w:rPr>
            </w:pPr>
          </w:p>
        </w:tc>
      </w:tr>
      <w:tr w14:paraId="3F6D1EB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1939DCA9">
            <w:pPr>
              <w:overflowPunct w:val="0"/>
              <w:spacing w:line="360" w:lineRule="auto"/>
              <w:rPr>
                <w:rFonts w:hint="eastAsia" w:ascii="仿宋" w:hAnsi="仿宋" w:eastAsia="仿宋" w:cs="仿宋"/>
                <w:bCs/>
                <w:color w:val="auto"/>
                <w:sz w:val="24"/>
                <w:highlight w:val="none"/>
              </w:rPr>
            </w:pPr>
          </w:p>
        </w:tc>
        <w:tc>
          <w:tcPr>
            <w:tcW w:w="1017" w:type="pct"/>
            <w:tcBorders>
              <w:tl2br w:val="nil"/>
              <w:tr2bl w:val="nil"/>
            </w:tcBorders>
          </w:tcPr>
          <w:p w14:paraId="582D7EEA">
            <w:pPr>
              <w:overflowPunct w:val="0"/>
              <w:spacing w:line="360" w:lineRule="auto"/>
              <w:rPr>
                <w:rFonts w:hint="eastAsia" w:ascii="仿宋" w:hAnsi="仿宋" w:eastAsia="仿宋" w:cs="仿宋"/>
                <w:bCs/>
                <w:color w:val="auto"/>
                <w:sz w:val="24"/>
                <w:highlight w:val="none"/>
              </w:rPr>
            </w:pPr>
          </w:p>
        </w:tc>
        <w:tc>
          <w:tcPr>
            <w:tcW w:w="652" w:type="pct"/>
            <w:tcBorders>
              <w:tl2br w:val="nil"/>
              <w:tr2bl w:val="nil"/>
            </w:tcBorders>
          </w:tcPr>
          <w:p w14:paraId="2F3B672F">
            <w:pPr>
              <w:overflowPunct w:val="0"/>
              <w:spacing w:line="360" w:lineRule="auto"/>
              <w:rPr>
                <w:rFonts w:hint="eastAsia" w:ascii="仿宋" w:hAnsi="仿宋" w:eastAsia="仿宋" w:cs="仿宋"/>
                <w:bCs/>
                <w:color w:val="auto"/>
                <w:sz w:val="24"/>
                <w:highlight w:val="none"/>
              </w:rPr>
            </w:pPr>
          </w:p>
        </w:tc>
        <w:tc>
          <w:tcPr>
            <w:tcW w:w="1292" w:type="pct"/>
            <w:tcBorders>
              <w:tl2br w:val="nil"/>
              <w:tr2bl w:val="nil"/>
            </w:tcBorders>
          </w:tcPr>
          <w:p w14:paraId="34A066DB">
            <w:pPr>
              <w:overflowPunct w:val="0"/>
              <w:spacing w:line="360" w:lineRule="auto"/>
              <w:rPr>
                <w:rFonts w:hint="eastAsia" w:ascii="仿宋" w:hAnsi="仿宋" w:eastAsia="仿宋" w:cs="仿宋"/>
                <w:bCs/>
                <w:color w:val="auto"/>
                <w:sz w:val="24"/>
                <w:highlight w:val="none"/>
              </w:rPr>
            </w:pPr>
          </w:p>
        </w:tc>
        <w:tc>
          <w:tcPr>
            <w:tcW w:w="832" w:type="pct"/>
            <w:tcBorders>
              <w:tl2br w:val="nil"/>
              <w:tr2bl w:val="nil"/>
            </w:tcBorders>
          </w:tcPr>
          <w:p w14:paraId="1FE9FD79">
            <w:pPr>
              <w:overflowPunct w:val="0"/>
              <w:spacing w:line="360" w:lineRule="auto"/>
              <w:rPr>
                <w:rFonts w:hint="eastAsia" w:ascii="仿宋" w:hAnsi="仿宋" w:eastAsia="仿宋" w:cs="仿宋"/>
                <w:bCs/>
                <w:color w:val="auto"/>
                <w:sz w:val="24"/>
                <w:highlight w:val="none"/>
              </w:rPr>
            </w:pPr>
          </w:p>
        </w:tc>
        <w:tc>
          <w:tcPr>
            <w:tcW w:w="746" w:type="pct"/>
            <w:tcBorders>
              <w:tl2br w:val="nil"/>
              <w:tr2bl w:val="nil"/>
            </w:tcBorders>
          </w:tcPr>
          <w:p w14:paraId="50A55837">
            <w:pPr>
              <w:overflowPunct w:val="0"/>
              <w:spacing w:line="360" w:lineRule="auto"/>
              <w:rPr>
                <w:rFonts w:hint="eastAsia" w:ascii="仿宋" w:hAnsi="仿宋" w:eastAsia="仿宋" w:cs="仿宋"/>
                <w:bCs/>
                <w:color w:val="auto"/>
                <w:sz w:val="24"/>
                <w:highlight w:val="none"/>
              </w:rPr>
            </w:pPr>
          </w:p>
        </w:tc>
      </w:tr>
      <w:tr w14:paraId="57D81CD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49FB328F">
            <w:pPr>
              <w:overflowPunct w:val="0"/>
              <w:spacing w:line="360" w:lineRule="auto"/>
              <w:rPr>
                <w:rFonts w:hint="eastAsia" w:ascii="仿宋" w:hAnsi="仿宋" w:eastAsia="仿宋" w:cs="仿宋"/>
                <w:bCs/>
                <w:color w:val="auto"/>
                <w:sz w:val="24"/>
                <w:highlight w:val="none"/>
              </w:rPr>
            </w:pPr>
          </w:p>
        </w:tc>
        <w:tc>
          <w:tcPr>
            <w:tcW w:w="1017" w:type="pct"/>
            <w:tcBorders>
              <w:tl2br w:val="nil"/>
              <w:tr2bl w:val="nil"/>
            </w:tcBorders>
          </w:tcPr>
          <w:p w14:paraId="3610C2AB">
            <w:pPr>
              <w:overflowPunct w:val="0"/>
              <w:spacing w:line="360" w:lineRule="auto"/>
              <w:rPr>
                <w:rFonts w:hint="eastAsia" w:ascii="仿宋" w:hAnsi="仿宋" w:eastAsia="仿宋" w:cs="仿宋"/>
                <w:bCs/>
                <w:color w:val="auto"/>
                <w:sz w:val="24"/>
                <w:highlight w:val="none"/>
              </w:rPr>
            </w:pPr>
          </w:p>
        </w:tc>
        <w:tc>
          <w:tcPr>
            <w:tcW w:w="652" w:type="pct"/>
            <w:tcBorders>
              <w:tl2br w:val="nil"/>
              <w:tr2bl w:val="nil"/>
            </w:tcBorders>
          </w:tcPr>
          <w:p w14:paraId="56BBFBC1">
            <w:pPr>
              <w:overflowPunct w:val="0"/>
              <w:spacing w:line="360" w:lineRule="auto"/>
              <w:rPr>
                <w:rFonts w:hint="eastAsia" w:ascii="仿宋" w:hAnsi="仿宋" w:eastAsia="仿宋" w:cs="仿宋"/>
                <w:bCs/>
                <w:color w:val="auto"/>
                <w:sz w:val="24"/>
                <w:highlight w:val="none"/>
              </w:rPr>
            </w:pPr>
          </w:p>
        </w:tc>
        <w:tc>
          <w:tcPr>
            <w:tcW w:w="1292" w:type="pct"/>
            <w:tcBorders>
              <w:tl2br w:val="nil"/>
              <w:tr2bl w:val="nil"/>
            </w:tcBorders>
          </w:tcPr>
          <w:p w14:paraId="07817524">
            <w:pPr>
              <w:overflowPunct w:val="0"/>
              <w:spacing w:line="360" w:lineRule="auto"/>
              <w:rPr>
                <w:rFonts w:hint="eastAsia" w:ascii="仿宋" w:hAnsi="仿宋" w:eastAsia="仿宋" w:cs="仿宋"/>
                <w:bCs/>
                <w:color w:val="auto"/>
                <w:sz w:val="24"/>
                <w:highlight w:val="none"/>
              </w:rPr>
            </w:pPr>
          </w:p>
        </w:tc>
        <w:tc>
          <w:tcPr>
            <w:tcW w:w="832" w:type="pct"/>
            <w:tcBorders>
              <w:tl2br w:val="nil"/>
              <w:tr2bl w:val="nil"/>
            </w:tcBorders>
          </w:tcPr>
          <w:p w14:paraId="0232E7DB">
            <w:pPr>
              <w:overflowPunct w:val="0"/>
              <w:spacing w:line="360" w:lineRule="auto"/>
              <w:rPr>
                <w:rFonts w:hint="eastAsia" w:ascii="仿宋" w:hAnsi="仿宋" w:eastAsia="仿宋" w:cs="仿宋"/>
                <w:bCs/>
                <w:color w:val="auto"/>
                <w:sz w:val="24"/>
                <w:highlight w:val="none"/>
              </w:rPr>
            </w:pPr>
          </w:p>
        </w:tc>
        <w:tc>
          <w:tcPr>
            <w:tcW w:w="746" w:type="pct"/>
            <w:tcBorders>
              <w:tl2br w:val="nil"/>
              <w:tr2bl w:val="nil"/>
            </w:tcBorders>
          </w:tcPr>
          <w:p w14:paraId="03E994F8">
            <w:pPr>
              <w:overflowPunct w:val="0"/>
              <w:spacing w:line="360" w:lineRule="auto"/>
              <w:rPr>
                <w:rFonts w:hint="eastAsia" w:ascii="仿宋" w:hAnsi="仿宋" w:eastAsia="仿宋" w:cs="仿宋"/>
                <w:bCs/>
                <w:color w:val="auto"/>
                <w:sz w:val="24"/>
                <w:highlight w:val="none"/>
              </w:rPr>
            </w:pPr>
          </w:p>
        </w:tc>
      </w:tr>
      <w:tr w14:paraId="0590E79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1D67A666">
            <w:pPr>
              <w:overflowPunct w:val="0"/>
              <w:spacing w:line="360" w:lineRule="auto"/>
              <w:rPr>
                <w:rFonts w:hint="eastAsia" w:ascii="仿宋" w:hAnsi="仿宋" w:eastAsia="仿宋" w:cs="仿宋"/>
                <w:bCs/>
                <w:color w:val="auto"/>
                <w:sz w:val="24"/>
                <w:highlight w:val="none"/>
              </w:rPr>
            </w:pPr>
          </w:p>
        </w:tc>
        <w:tc>
          <w:tcPr>
            <w:tcW w:w="1017" w:type="pct"/>
            <w:tcBorders>
              <w:tl2br w:val="nil"/>
              <w:tr2bl w:val="nil"/>
            </w:tcBorders>
          </w:tcPr>
          <w:p w14:paraId="6B125110">
            <w:pPr>
              <w:overflowPunct w:val="0"/>
              <w:spacing w:line="360" w:lineRule="auto"/>
              <w:rPr>
                <w:rFonts w:hint="eastAsia" w:ascii="仿宋" w:hAnsi="仿宋" w:eastAsia="仿宋" w:cs="仿宋"/>
                <w:bCs/>
                <w:color w:val="auto"/>
                <w:sz w:val="24"/>
                <w:highlight w:val="none"/>
              </w:rPr>
            </w:pPr>
          </w:p>
        </w:tc>
        <w:tc>
          <w:tcPr>
            <w:tcW w:w="652" w:type="pct"/>
            <w:tcBorders>
              <w:tl2br w:val="nil"/>
              <w:tr2bl w:val="nil"/>
            </w:tcBorders>
          </w:tcPr>
          <w:p w14:paraId="51F01A4E">
            <w:pPr>
              <w:overflowPunct w:val="0"/>
              <w:spacing w:line="360" w:lineRule="auto"/>
              <w:rPr>
                <w:rFonts w:hint="eastAsia" w:ascii="仿宋" w:hAnsi="仿宋" w:eastAsia="仿宋" w:cs="仿宋"/>
                <w:bCs/>
                <w:color w:val="auto"/>
                <w:sz w:val="24"/>
                <w:highlight w:val="none"/>
              </w:rPr>
            </w:pPr>
          </w:p>
        </w:tc>
        <w:tc>
          <w:tcPr>
            <w:tcW w:w="1292" w:type="pct"/>
            <w:tcBorders>
              <w:tl2br w:val="nil"/>
              <w:tr2bl w:val="nil"/>
            </w:tcBorders>
          </w:tcPr>
          <w:p w14:paraId="429DD117">
            <w:pPr>
              <w:overflowPunct w:val="0"/>
              <w:spacing w:line="360" w:lineRule="auto"/>
              <w:rPr>
                <w:rFonts w:hint="eastAsia" w:ascii="仿宋" w:hAnsi="仿宋" w:eastAsia="仿宋" w:cs="仿宋"/>
                <w:bCs/>
                <w:color w:val="auto"/>
                <w:sz w:val="24"/>
                <w:highlight w:val="none"/>
              </w:rPr>
            </w:pPr>
          </w:p>
        </w:tc>
        <w:tc>
          <w:tcPr>
            <w:tcW w:w="832" w:type="pct"/>
            <w:tcBorders>
              <w:tl2br w:val="nil"/>
              <w:tr2bl w:val="nil"/>
            </w:tcBorders>
          </w:tcPr>
          <w:p w14:paraId="65D72F0B">
            <w:pPr>
              <w:overflowPunct w:val="0"/>
              <w:spacing w:line="360" w:lineRule="auto"/>
              <w:rPr>
                <w:rFonts w:hint="eastAsia" w:ascii="仿宋" w:hAnsi="仿宋" w:eastAsia="仿宋" w:cs="仿宋"/>
                <w:bCs/>
                <w:color w:val="auto"/>
                <w:sz w:val="24"/>
                <w:highlight w:val="none"/>
              </w:rPr>
            </w:pPr>
          </w:p>
        </w:tc>
        <w:tc>
          <w:tcPr>
            <w:tcW w:w="746" w:type="pct"/>
            <w:tcBorders>
              <w:tl2br w:val="nil"/>
              <w:tr2bl w:val="nil"/>
            </w:tcBorders>
          </w:tcPr>
          <w:p w14:paraId="5BB7BC30">
            <w:pPr>
              <w:overflowPunct w:val="0"/>
              <w:spacing w:line="360" w:lineRule="auto"/>
              <w:rPr>
                <w:rFonts w:hint="eastAsia" w:ascii="仿宋" w:hAnsi="仿宋" w:eastAsia="仿宋" w:cs="仿宋"/>
                <w:bCs/>
                <w:color w:val="auto"/>
                <w:sz w:val="24"/>
                <w:highlight w:val="none"/>
              </w:rPr>
            </w:pPr>
          </w:p>
        </w:tc>
      </w:tr>
    </w:tbl>
    <w:p w14:paraId="4A1B6059">
      <w:pPr>
        <w:snapToGrid w:val="0"/>
        <w:spacing w:before="50" w:after="156" w:afterLines="50"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注：在填写时，如本表格不适合竞标单位的实际情况，可根据本表格式自行划表填写。</w:t>
      </w:r>
    </w:p>
    <w:p w14:paraId="4CB92871">
      <w:pPr>
        <w:pStyle w:val="43"/>
        <w:ind w:firstLine="420"/>
        <w:rPr>
          <w:rFonts w:hint="eastAsia" w:ascii="仿宋" w:hAnsi="仿宋" w:eastAsia="仿宋" w:cs="仿宋"/>
          <w:color w:val="auto"/>
          <w:highlight w:val="none"/>
        </w:rPr>
      </w:pPr>
    </w:p>
    <w:p w14:paraId="0E46D0CD">
      <w:pPr>
        <w:spacing w:before="156" w:beforeLines="50" w:after="156" w:afterLines="50" w:line="300" w:lineRule="exact"/>
        <w:ind w:firstLine="4320" w:firstLineChars="18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供应商（盖章）：</w:t>
      </w:r>
    </w:p>
    <w:p w14:paraId="558B2BA6">
      <w:pPr>
        <w:spacing w:before="156" w:beforeLines="50" w:after="156" w:afterLines="50" w:line="300" w:lineRule="exact"/>
        <w:ind w:firstLine="4320" w:firstLineChars="18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授权代表（签字）：</w:t>
      </w:r>
    </w:p>
    <w:p w14:paraId="4D0F4996">
      <w:pPr>
        <w:spacing w:line="400" w:lineRule="exact"/>
        <w:ind w:firstLine="4320" w:firstLineChars="18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日期： </w:t>
      </w:r>
    </w:p>
    <w:p w14:paraId="725D945A">
      <w:pPr>
        <w:spacing w:line="400" w:lineRule="exact"/>
        <w:jc w:val="left"/>
        <w:rPr>
          <w:rFonts w:hint="eastAsia" w:ascii="仿宋" w:hAnsi="仿宋" w:eastAsia="仿宋" w:cs="仿宋"/>
          <w:color w:val="auto"/>
          <w:sz w:val="28"/>
          <w:szCs w:val="28"/>
          <w:highlight w:val="none"/>
        </w:rPr>
      </w:pPr>
    </w:p>
    <w:p w14:paraId="4E62B401">
      <w:pPr>
        <w:spacing w:line="400" w:lineRule="exact"/>
        <w:jc w:val="left"/>
        <w:rPr>
          <w:rFonts w:hint="eastAsia" w:ascii="仿宋" w:hAnsi="仿宋" w:eastAsia="仿宋" w:cs="仿宋"/>
          <w:color w:val="auto"/>
          <w:sz w:val="28"/>
          <w:szCs w:val="28"/>
          <w:highlight w:val="none"/>
        </w:rPr>
      </w:pPr>
    </w:p>
    <w:p w14:paraId="55562F1B">
      <w:pPr>
        <w:spacing w:line="400" w:lineRule="exact"/>
        <w:jc w:val="left"/>
        <w:rPr>
          <w:rFonts w:hint="eastAsia" w:ascii="仿宋" w:hAnsi="仿宋" w:eastAsia="仿宋" w:cs="仿宋"/>
          <w:color w:val="auto"/>
          <w:sz w:val="28"/>
          <w:szCs w:val="28"/>
          <w:highlight w:val="none"/>
        </w:rPr>
      </w:pPr>
    </w:p>
    <w:p w14:paraId="40D4EA87">
      <w:pPr>
        <w:spacing w:line="400" w:lineRule="exact"/>
        <w:jc w:val="left"/>
        <w:rPr>
          <w:rFonts w:hint="eastAsia" w:ascii="仿宋" w:hAnsi="仿宋" w:eastAsia="仿宋" w:cs="仿宋"/>
          <w:color w:val="auto"/>
          <w:sz w:val="28"/>
          <w:szCs w:val="28"/>
          <w:highlight w:val="none"/>
        </w:rPr>
      </w:pPr>
    </w:p>
    <w:p w14:paraId="037D6F42">
      <w:pPr>
        <w:spacing w:line="400" w:lineRule="exact"/>
        <w:jc w:val="left"/>
        <w:rPr>
          <w:rFonts w:hint="eastAsia" w:ascii="仿宋" w:hAnsi="仿宋" w:eastAsia="仿宋" w:cs="仿宋"/>
          <w:color w:val="auto"/>
          <w:sz w:val="28"/>
          <w:szCs w:val="28"/>
          <w:highlight w:val="none"/>
        </w:rPr>
      </w:pPr>
    </w:p>
    <w:p w14:paraId="3924783D">
      <w:pPr>
        <w:pStyle w:val="2"/>
        <w:rPr>
          <w:rFonts w:hint="default" w:ascii="Calibri" w:hAnsi="Calibri" w:eastAsia="宋体" w:cs="Times New Roman"/>
          <w:sz w:val="44"/>
          <w:szCs w:val="44"/>
        </w:rPr>
      </w:pPr>
    </w:p>
    <w:p w14:paraId="0C487B3E">
      <w:pPr>
        <w:spacing w:line="400" w:lineRule="exact"/>
        <w:jc w:val="left"/>
        <w:rPr>
          <w:rFonts w:hint="eastAsia" w:ascii="仿宋" w:hAnsi="仿宋" w:eastAsia="仿宋" w:cs="仿宋"/>
          <w:color w:val="auto"/>
          <w:sz w:val="28"/>
          <w:szCs w:val="28"/>
          <w:highlight w:val="none"/>
        </w:rPr>
      </w:pPr>
    </w:p>
    <w:p w14:paraId="57A02701">
      <w:pPr>
        <w:tabs>
          <w:tab w:val="left" w:pos="3139"/>
        </w:tabs>
        <w:jc w:val="left"/>
        <w:rPr>
          <w:rFonts w:hint="eastAsia" w:ascii="仿宋" w:hAnsi="仿宋" w:eastAsia="仿宋" w:cs="仿宋"/>
          <w:color w:val="auto"/>
          <w:highlight w:val="none"/>
        </w:rPr>
      </w:pPr>
    </w:p>
    <w:p w14:paraId="1BA4C622">
      <w:pPr>
        <w:pStyle w:val="41"/>
        <w:rPr>
          <w:rFonts w:hint="eastAsia" w:ascii="仿宋" w:hAnsi="仿宋" w:eastAsia="仿宋" w:cs="仿宋"/>
          <w:color w:val="auto"/>
          <w:highlight w:val="none"/>
        </w:rPr>
      </w:pPr>
    </w:p>
    <w:p w14:paraId="6345063D">
      <w:pPr>
        <w:spacing w:line="400" w:lineRule="exact"/>
        <w:jc w:val="left"/>
        <w:outlineLvl w:val="1"/>
        <w:rPr>
          <w:rFonts w:ascii="仿宋" w:hAnsi="仿宋" w:eastAsia="仿宋" w:cs="仿宋"/>
          <w:bCs/>
          <w:color w:val="auto"/>
          <w:sz w:val="30"/>
          <w:szCs w:val="30"/>
          <w:highlight w:val="none"/>
        </w:rPr>
      </w:pPr>
      <w:r>
        <w:rPr>
          <w:rFonts w:hint="eastAsia" w:ascii="仿宋" w:hAnsi="仿宋" w:eastAsia="仿宋" w:cs="仿宋"/>
          <w:b/>
          <w:bCs/>
          <w:color w:val="auto"/>
          <w:sz w:val="28"/>
          <w:szCs w:val="28"/>
          <w:highlight w:val="none"/>
          <w:lang w:val="en-US" w:eastAsia="zh-CN"/>
        </w:rPr>
        <w:t>5、人员配置</w:t>
      </w:r>
    </w:p>
    <w:p w14:paraId="5D5D0B7C">
      <w:pPr>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人员配置一览表</w:t>
      </w:r>
    </w:p>
    <w:tbl>
      <w:tblPr>
        <w:tblStyle w:val="33"/>
        <w:tblW w:w="4300" w:type="pct"/>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1490"/>
        <w:gridCol w:w="1233"/>
        <w:gridCol w:w="1464"/>
        <w:gridCol w:w="2412"/>
        <w:gridCol w:w="1968"/>
      </w:tblGrid>
      <w:tr w14:paraId="6891A50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89" w:hRule="exact"/>
          <w:jc w:val="center"/>
        </w:trPr>
        <w:tc>
          <w:tcPr>
            <w:tcW w:w="869" w:type="pct"/>
            <w:tcBorders>
              <w:tl2br w:val="nil"/>
              <w:tr2bl w:val="nil"/>
            </w:tcBorders>
            <w:vAlign w:val="center"/>
          </w:tcPr>
          <w:p w14:paraId="2D551896">
            <w:pPr>
              <w:spacing w:line="36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姓名</w:t>
            </w:r>
          </w:p>
        </w:tc>
        <w:tc>
          <w:tcPr>
            <w:tcW w:w="719" w:type="pct"/>
            <w:tcBorders>
              <w:tl2br w:val="nil"/>
              <w:tr2bl w:val="nil"/>
            </w:tcBorders>
            <w:vAlign w:val="center"/>
          </w:tcPr>
          <w:p w14:paraId="664BD6F8">
            <w:pPr>
              <w:spacing w:line="36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职务</w:t>
            </w:r>
          </w:p>
        </w:tc>
        <w:tc>
          <w:tcPr>
            <w:tcW w:w="854" w:type="pct"/>
            <w:tcBorders>
              <w:tl2br w:val="nil"/>
              <w:tr2bl w:val="nil"/>
            </w:tcBorders>
            <w:vAlign w:val="center"/>
          </w:tcPr>
          <w:p w14:paraId="71115467">
            <w:pPr>
              <w:spacing w:line="36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证书编号</w:t>
            </w:r>
          </w:p>
        </w:tc>
        <w:tc>
          <w:tcPr>
            <w:tcW w:w="1407" w:type="pct"/>
            <w:tcBorders>
              <w:tl2br w:val="nil"/>
              <w:tr2bl w:val="nil"/>
            </w:tcBorders>
            <w:vAlign w:val="center"/>
          </w:tcPr>
          <w:p w14:paraId="55AA4E8C">
            <w:pPr>
              <w:spacing w:line="36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参加本单位工作时间</w:t>
            </w:r>
          </w:p>
        </w:tc>
        <w:tc>
          <w:tcPr>
            <w:tcW w:w="1148" w:type="pct"/>
            <w:tcBorders>
              <w:tl2br w:val="nil"/>
              <w:tr2bl w:val="nil"/>
            </w:tcBorders>
            <w:vAlign w:val="center"/>
          </w:tcPr>
          <w:p w14:paraId="392A0EBF">
            <w:pPr>
              <w:spacing w:line="36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劳动合同编号</w:t>
            </w:r>
          </w:p>
        </w:tc>
      </w:tr>
      <w:tr w14:paraId="0DFE643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64009BF0">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50DF6246">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0F0AE30B">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6608FDE9">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0DB52D30">
            <w:pPr>
              <w:spacing w:line="360" w:lineRule="exact"/>
              <w:jc w:val="center"/>
              <w:rPr>
                <w:rFonts w:ascii="仿宋" w:hAnsi="仿宋" w:eastAsia="仿宋" w:cs="仿宋"/>
                <w:color w:val="auto"/>
                <w:sz w:val="24"/>
                <w:highlight w:val="none"/>
              </w:rPr>
            </w:pPr>
          </w:p>
        </w:tc>
      </w:tr>
      <w:tr w14:paraId="41B0C19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52A960C5">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52BD49A5">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6803501F">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72F63E27">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0B01A378">
            <w:pPr>
              <w:spacing w:line="360" w:lineRule="exact"/>
              <w:jc w:val="center"/>
              <w:rPr>
                <w:rFonts w:ascii="仿宋" w:hAnsi="仿宋" w:eastAsia="仿宋" w:cs="仿宋"/>
                <w:color w:val="auto"/>
                <w:sz w:val="24"/>
                <w:highlight w:val="none"/>
              </w:rPr>
            </w:pPr>
          </w:p>
        </w:tc>
      </w:tr>
      <w:tr w14:paraId="239570C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05725C96">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0A5E5779">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675EAEEB">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54CD863A">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1C5D6634">
            <w:pPr>
              <w:spacing w:line="360" w:lineRule="exact"/>
              <w:jc w:val="center"/>
              <w:rPr>
                <w:rFonts w:ascii="仿宋" w:hAnsi="仿宋" w:eastAsia="仿宋" w:cs="仿宋"/>
                <w:color w:val="auto"/>
                <w:sz w:val="24"/>
                <w:highlight w:val="none"/>
              </w:rPr>
            </w:pPr>
          </w:p>
        </w:tc>
      </w:tr>
      <w:tr w14:paraId="684D15C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7FB23A45">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69E5F5EC">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7F141E97">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4ACEC548">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3DBD53B3">
            <w:pPr>
              <w:spacing w:line="360" w:lineRule="exact"/>
              <w:jc w:val="center"/>
              <w:rPr>
                <w:rFonts w:ascii="仿宋" w:hAnsi="仿宋" w:eastAsia="仿宋" w:cs="仿宋"/>
                <w:color w:val="auto"/>
                <w:sz w:val="24"/>
                <w:highlight w:val="none"/>
              </w:rPr>
            </w:pPr>
          </w:p>
        </w:tc>
      </w:tr>
      <w:tr w14:paraId="27EF4F6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0B9DB590">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68D1EDD1">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08AEE7FF">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75E7DF58">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664B9CA1">
            <w:pPr>
              <w:spacing w:line="360" w:lineRule="exact"/>
              <w:jc w:val="center"/>
              <w:rPr>
                <w:rFonts w:ascii="仿宋" w:hAnsi="仿宋" w:eastAsia="仿宋" w:cs="仿宋"/>
                <w:color w:val="auto"/>
                <w:sz w:val="24"/>
                <w:highlight w:val="none"/>
              </w:rPr>
            </w:pPr>
          </w:p>
        </w:tc>
      </w:tr>
      <w:tr w14:paraId="78BF6F2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3F6D1E69">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6AB79426">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629C09DF">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0933DA35">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59273293">
            <w:pPr>
              <w:spacing w:line="360" w:lineRule="exact"/>
              <w:jc w:val="center"/>
              <w:rPr>
                <w:rFonts w:ascii="仿宋" w:hAnsi="仿宋" w:eastAsia="仿宋" w:cs="仿宋"/>
                <w:color w:val="auto"/>
                <w:sz w:val="24"/>
                <w:highlight w:val="none"/>
              </w:rPr>
            </w:pPr>
          </w:p>
        </w:tc>
      </w:tr>
      <w:tr w14:paraId="4D3B0C3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7F477D93">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1BF01DA4">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3451F923">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256BD02F">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638A6104">
            <w:pPr>
              <w:spacing w:line="360" w:lineRule="exact"/>
              <w:jc w:val="center"/>
              <w:rPr>
                <w:rFonts w:ascii="仿宋" w:hAnsi="仿宋" w:eastAsia="仿宋" w:cs="仿宋"/>
                <w:color w:val="auto"/>
                <w:sz w:val="24"/>
                <w:highlight w:val="none"/>
              </w:rPr>
            </w:pPr>
          </w:p>
        </w:tc>
      </w:tr>
      <w:tr w14:paraId="5DFE8C2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0B6B75B8">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65DA03A2">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504FDCA9">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1B473D99">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56C57930">
            <w:pPr>
              <w:spacing w:line="360" w:lineRule="exact"/>
              <w:jc w:val="center"/>
              <w:rPr>
                <w:rFonts w:ascii="仿宋" w:hAnsi="仿宋" w:eastAsia="仿宋" w:cs="仿宋"/>
                <w:color w:val="auto"/>
                <w:sz w:val="24"/>
                <w:highlight w:val="none"/>
              </w:rPr>
            </w:pPr>
          </w:p>
        </w:tc>
      </w:tr>
      <w:tr w14:paraId="610723D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77EE6307">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3F73BC0B">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2230E3FC">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76813056">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7FEFFA04">
            <w:pPr>
              <w:spacing w:line="360" w:lineRule="exact"/>
              <w:jc w:val="center"/>
              <w:rPr>
                <w:rFonts w:ascii="仿宋" w:hAnsi="仿宋" w:eastAsia="仿宋" w:cs="仿宋"/>
                <w:color w:val="auto"/>
                <w:sz w:val="24"/>
                <w:highlight w:val="none"/>
              </w:rPr>
            </w:pPr>
          </w:p>
        </w:tc>
      </w:tr>
      <w:tr w14:paraId="24DA771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682036A5">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7B6BB5D6">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41EB19DB">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4B613AEA">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17E86873">
            <w:pPr>
              <w:spacing w:line="360" w:lineRule="exact"/>
              <w:jc w:val="center"/>
              <w:rPr>
                <w:rFonts w:ascii="仿宋" w:hAnsi="仿宋" w:eastAsia="仿宋" w:cs="仿宋"/>
                <w:color w:val="auto"/>
                <w:sz w:val="24"/>
                <w:highlight w:val="none"/>
              </w:rPr>
            </w:pPr>
          </w:p>
        </w:tc>
      </w:tr>
      <w:tr w14:paraId="7ADE785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2C7C5E6A">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3B83A342">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06BA0D45">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7DC1B11A">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5BF1C3E1">
            <w:pPr>
              <w:spacing w:line="360" w:lineRule="exact"/>
              <w:jc w:val="center"/>
              <w:rPr>
                <w:rFonts w:ascii="仿宋" w:hAnsi="仿宋" w:eastAsia="仿宋" w:cs="仿宋"/>
                <w:color w:val="auto"/>
                <w:sz w:val="24"/>
                <w:highlight w:val="none"/>
              </w:rPr>
            </w:pPr>
          </w:p>
        </w:tc>
      </w:tr>
      <w:tr w14:paraId="4EA4432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2B3F1ECD">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53E5DED6">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1D937BBF">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141CF171">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05CC32DD">
            <w:pPr>
              <w:spacing w:line="360" w:lineRule="exact"/>
              <w:jc w:val="center"/>
              <w:rPr>
                <w:rFonts w:ascii="仿宋" w:hAnsi="仿宋" w:eastAsia="仿宋" w:cs="仿宋"/>
                <w:color w:val="auto"/>
                <w:sz w:val="24"/>
                <w:highlight w:val="none"/>
              </w:rPr>
            </w:pPr>
          </w:p>
        </w:tc>
      </w:tr>
    </w:tbl>
    <w:p w14:paraId="735C1DF5">
      <w:pPr>
        <w:snapToGrid w:val="0"/>
        <w:spacing w:before="50" w:after="156" w:afterLines="50"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注：在填写时，如本表格不适合竞标单位的实际情况，可根据本表格式自行划表填写。</w:t>
      </w:r>
    </w:p>
    <w:p w14:paraId="38CB0667">
      <w:pPr>
        <w:keepNext w:val="0"/>
        <w:keepLines w:val="0"/>
        <w:pageBreakBefore w:val="0"/>
        <w:widowControl w:val="0"/>
        <w:kinsoku/>
        <w:wordWrap/>
        <w:overflowPunct/>
        <w:topLinePunct w:val="0"/>
        <w:autoSpaceDE/>
        <w:autoSpaceDN/>
        <w:bidi w:val="0"/>
        <w:spacing w:before="156" w:beforeLines="50" w:after="156" w:afterLines="50" w:line="400" w:lineRule="exact"/>
        <w:ind w:firstLine="4800" w:firstLineChars="2000"/>
        <w:textAlignment w:val="auto"/>
        <w:rPr>
          <w:rFonts w:hint="eastAsia" w:ascii="仿宋" w:hAnsi="仿宋" w:eastAsia="仿宋" w:cs="仿宋"/>
          <w:color w:val="auto"/>
          <w:sz w:val="24"/>
          <w:highlight w:val="none"/>
        </w:rPr>
      </w:pPr>
    </w:p>
    <w:p w14:paraId="5370F0CC">
      <w:pPr>
        <w:keepNext w:val="0"/>
        <w:keepLines w:val="0"/>
        <w:pageBreakBefore w:val="0"/>
        <w:widowControl w:val="0"/>
        <w:kinsoku/>
        <w:wordWrap/>
        <w:overflowPunct/>
        <w:topLinePunct w:val="0"/>
        <w:autoSpaceDE/>
        <w:autoSpaceDN/>
        <w:bidi w:val="0"/>
        <w:spacing w:before="156" w:beforeLines="50" w:after="156" w:afterLines="50" w:line="400" w:lineRule="exact"/>
        <w:ind w:firstLine="4800" w:firstLineChars="2000"/>
        <w:textAlignment w:val="auto"/>
        <w:rPr>
          <w:rFonts w:hint="eastAsia" w:ascii="仿宋" w:hAnsi="仿宋" w:eastAsia="仿宋" w:cs="仿宋"/>
          <w:color w:val="auto"/>
          <w:sz w:val="24"/>
          <w:highlight w:val="none"/>
        </w:rPr>
      </w:pPr>
    </w:p>
    <w:p w14:paraId="31213B5D">
      <w:pPr>
        <w:keepNext w:val="0"/>
        <w:keepLines w:val="0"/>
        <w:pageBreakBefore w:val="0"/>
        <w:widowControl w:val="0"/>
        <w:kinsoku/>
        <w:wordWrap/>
        <w:overflowPunct/>
        <w:topLinePunct w:val="0"/>
        <w:autoSpaceDE/>
        <w:autoSpaceDN/>
        <w:bidi w:val="0"/>
        <w:spacing w:before="156" w:beforeLines="50" w:after="156" w:afterLines="50" w:line="400" w:lineRule="exact"/>
        <w:ind w:firstLine="4800" w:firstLineChars="2000"/>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供应商（盖章）：</w:t>
      </w:r>
    </w:p>
    <w:p w14:paraId="52552195">
      <w:pPr>
        <w:keepNext w:val="0"/>
        <w:keepLines w:val="0"/>
        <w:pageBreakBefore w:val="0"/>
        <w:widowControl w:val="0"/>
        <w:kinsoku/>
        <w:wordWrap/>
        <w:overflowPunct/>
        <w:topLinePunct w:val="0"/>
        <w:autoSpaceDE/>
        <w:autoSpaceDN/>
        <w:bidi w:val="0"/>
        <w:spacing w:before="156" w:beforeLines="50" w:after="156" w:afterLines="50" w:line="400" w:lineRule="exact"/>
        <w:ind w:firstLine="4800" w:firstLineChars="2000"/>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授权代表（签字）：</w:t>
      </w:r>
    </w:p>
    <w:p w14:paraId="1DB776E6">
      <w:pPr>
        <w:keepNext w:val="0"/>
        <w:keepLines w:val="0"/>
        <w:pageBreakBefore w:val="0"/>
        <w:widowControl w:val="0"/>
        <w:kinsoku/>
        <w:wordWrap/>
        <w:overflowPunct/>
        <w:topLinePunct w:val="0"/>
        <w:autoSpaceDE/>
        <w:autoSpaceDN/>
        <w:bidi w:val="0"/>
        <w:adjustRightInd w:val="0"/>
        <w:snapToGrid w:val="0"/>
        <w:spacing w:line="440" w:lineRule="exact"/>
        <w:ind w:firstLine="4800" w:firstLineChars="20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p>
    <w:p w14:paraId="738175DB">
      <w:pPr>
        <w:pStyle w:val="40"/>
        <w:rPr>
          <w:rFonts w:hint="eastAsia" w:ascii="仿宋" w:hAnsi="仿宋" w:eastAsia="仿宋" w:cs="仿宋"/>
          <w:color w:val="auto"/>
          <w:sz w:val="24"/>
          <w:highlight w:val="none"/>
        </w:rPr>
      </w:pPr>
    </w:p>
    <w:p w14:paraId="7ECE0C34">
      <w:pPr>
        <w:pStyle w:val="40"/>
        <w:rPr>
          <w:rFonts w:hint="eastAsia" w:ascii="仿宋" w:hAnsi="仿宋" w:eastAsia="仿宋" w:cs="仿宋"/>
          <w:color w:val="auto"/>
          <w:sz w:val="24"/>
          <w:highlight w:val="none"/>
        </w:rPr>
      </w:pPr>
    </w:p>
    <w:p w14:paraId="7F0630BA">
      <w:pPr>
        <w:pStyle w:val="40"/>
        <w:rPr>
          <w:rFonts w:hint="eastAsia" w:ascii="仿宋" w:hAnsi="仿宋" w:eastAsia="仿宋" w:cs="仿宋"/>
          <w:color w:val="auto"/>
          <w:sz w:val="24"/>
          <w:highlight w:val="none"/>
        </w:rPr>
      </w:pPr>
    </w:p>
    <w:p w14:paraId="1414FC9E">
      <w:pPr>
        <w:pStyle w:val="40"/>
        <w:rPr>
          <w:rFonts w:hint="eastAsia" w:ascii="仿宋" w:hAnsi="仿宋" w:eastAsia="仿宋" w:cs="仿宋"/>
          <w:color w:val="auto"/>
          <w:sz w:val="24"/>
          <w:highlight w:val="none"/>
        </w:rPr>
      </w:pPr>
    </w:p>
    <w:p w14:paraId="33412018">
      <w:pPr>
        <w:rPr>
          <w:rFonts w:hint="eastAsia" w:ascii="仿宋" w:hAnsi="仿宋" w:eastAsia="仿宋" w:cs="仿宋"/>
          <w:color w:val="auto"/>
          <w:highlight w:val="none"/>
        </w:rPr>
      </w:pPr>
    </w:p>
    <w:p w14:paraId="44BAD238">
      <w:pPr>
        <w:spacing w:line="400" w:lineRule="exact"/>
        <w:jc w:val="left"/>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6</w:t>
      </w:r>
      <w:r>
        <w:rPr>
          <w:rFonts w:hint="eastAsia" w:ascii="仿宋" w:hAnsi="仿宋" w:eastAsia="仿宋" w:cs="仿宋"/>
          <w:b/>
          <w:bCs/>
          <w:color w:val="auto"/>
          <w:sz w:val="28"/>
          <w:szCs w:val="28"/>
          <w:highlight w:val="none"/>
        </w:rPr>
        <w:t>、磋商申请函</w:t>
      </w:r>
    </w:p>
    <w:p w14:paraId="5D78BEE3">
      <w:pPr>
        <w:spacing w:line="360" w:lineRule="auto"/>
        <w:jc w:val="center"/>
        <w:outlineLvl w:val="9"/>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 xml:space="preserve">磋 商 申 请 函 </w:t>
      </w:r>
    </w:p>
    <w:p w14:paraId="7B90B066">
      <w:pPr>
        <w:spacing w:line="400" w:lineRule="exac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致                 ：</w:t>
      </w:r>
    </w:p>
    <w:p w14:paraId="2913C805">
      <w:pPr>
        <w:spacing w:line="4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（供应商全称）  </w:t>
      </w:r>
      <w:r>
        <w:rPr>
          <w:rFonts w:hint="eastAsia" w:ascii="仿宋" w:hAnsi="仿宋" w:eastAsia="仿宋" w:cs="仿宋"/>
          <w:color w:val="auto"/>
          <w:sz w:val="24"/>
          <w:highlight w:val="none"/>
        </w:rPr>
        <w:t xml:space="preserve"> 授权 </w:t>
      </w:r>
      <w:r>
        <w:rPr>
          <w:rFonts w:hint="eastAsia" w:ascii="仿宋" w:hAnsi="仿宋" w:eastAsia="仿宋" w:cs="仿宋"/>
          <w:color w:val="auto"/>
          <w:sz w:val="24"/>
          <w:highlight w:val="none"/>
          <w:u w:val="single"/>
        </w:rPr>
        <w:t xml:space="preserve">   （授权代表名称、职务、职称）    </w:t>
      </w:r>
      <w:r>
        <w:rPr>
          <w:rFonts w:hint="eastAsia" w:ascii="仿宋" w:hAnsi="仿宋" w:eastAsia="仿宋" w:cs="仿宋"/>
          <w:color w:val="auto"/>
          <w:sz w:val="24"/>
          <w:highlight w:val="none"/>
        </w:rPr>
        <w:t xml:space="preserve"> 为本公司授权代表，参加贵方组织的</w:t>
      </w:r>
      <w:r>
        <w:rPr>
          <w:rFonts w:hint="eastAsia" w:ascii="仿宋" w:hAnsi="仿宋" w:eastAsia="仿宋" w:cs="仿宋"/>
          <w:color w:val="auto"/>
          <w:sz w:val="24"/>
          <w:highlight w:val="none"/>
          <w:u w:val="single"/>
        </w:rPr>
        <w:t xml:space="preserve">  项目名称（项目编号）  </w:t>
      </w:r>
      <w:r>
        <w:rPr>
          <w:rFonts w:hint="eastAsia" w:ascii="仿宋" w:hAnsi="仿宋" w:eastAsia="仿宋" w:cs="仿宋"/>
          <w:color w:val="auto"/>
          <w:sz w:val="24"/>
          <w:highlight w:val="none"/>
        </w:rPr>
        <w:t xml:space="preserve"> 竞争性磋商有关活动，进行磋商。为此</w:t>
      </w:r>
      <w:r>
        <w:rPr>
          <w:rFonts w:hint="eastAsia" w:ascii="仿宋" w:hAnsi="仿宋" w:eastAsia="仿宋" w:cs="仿宋"/>
          <w:color w:val="auto"/>
          <w:sz w:val="24"/>
          <w:highlight w:val="none"/>
          <w:lang w:val="zh-CN"/>
        </w:rPr>
        <w:t>承诺如下</w:t>
      </w:r>
      <w:r>
        <w:rPr>
          <w:rFonts w:hint="eastAsia" w:ascii="仿宋" w:hAnsi="仿宋" w:eastAsia="仿宋" w:cs="仿宋"/>
          <w:color w:val="auto"/>
          <w:sz w:val="24"/>
          <w:highlight w:val="none"/>
        </w:rPr>
        <w:t xml:space="preserve">：  </w:t>
      </w:r>
    </w:p>
    <w:p w14:paraId="119F96B8">
      <w:pPr>
        <w:spacing w:line="400" w:lineRule="exac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 xml:space="preserve">    1、 提供须知规定的全部</w:t>
      </w:r>
      <w:r>
        <w:rPr>
          <w:rFonts w:hint="eastAsia" w:ascii="仿宋" w:hAnsi="仿宋" w:eastAsia="仿宋" w:cs="仿宋"/>
          <w:color w:val="auto"/>
          <w:sz w:val="24"/>
          <w:highlight w:val="none"/>
          <w:lang w:val="en-US" w:eastAsia="zh-CN"/>
        </w:rPr>
        <w:t>响应</w:t>
      </w:r>
      <w:r>
        <w:rPr>
          <w:rFonts w:hint="eastAsia" w:ascii="仿宋" w:hAnsi="仿宋" w:eastAsia="仿宋" w:cs="仿宋"/>
          <w:color w:val="auto"/>
          <w:sz w:val="24"/>
          <w:highlight w:val="none"/>
        </w:rPr>
        <w:t>文件（电子投标文件、数据电子备份投标文件（U盘）），包括《资格文件》、《技术、商务文件》、《报价文件》，其中数据电子备份投标文件（U盘）各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份，应与电子投标文件内容、格式一致；电子投标文件确认已上传</w:t>
      </w:r>
      <w:r>
        <w:rPr>
          <w:rFonts w:hint="eastAsia" w:ascii="仿宋" w:hAnsi="仿宋" w:eastAsia="仿宋" w:cs="仿宋"/>
          <w:color w:val="auto"/>
          <w:sz w:val="24"/>
          <w:highlight w:val="none"/>
          <w:lang w:eastAsia="zh-CN"/>
        </w:rPr>
        <w:t>。</w:t>
      </w:r>
    </w:p>
    <w:p w14:paraId="41002EE6">
      <w:pPr>
        <w:spacing w:line="40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 本次磋商报价为：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D23CC4A">
      <w:pPr>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3、本项目负责人：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；职务：</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；职称：</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；联系电话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14:paraId="517D2047">
      <w:pPr>
        <w:spacing w:line="40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4、保证遵守磋商文件中的有关规定和收费标准。</w:t>
      </w:r>
    </w:p>
    <w:p w14:paraId="7F9ADAC9">
      <w:pPr>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5、保证严格执行甲、乙双方所签的合同，并承担全部规定的责任义务。</w:t>
      </w:r>
    </w:p>
    <w:p w14:paraId="1E42B424">
      <w:pPr>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6、我们已详细审查全部磋商文件，包括磋商补充文件（如果有的话）。我们完全理解并同意放弃对这方面有不明及误解的权力。</w:t>
      </w:r>
    </w:p>
    <w:p w14:paraId="305F7C38">
      <w:pPr>
        <w:spacing w:line="46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7、我们已对项目现场进行实地踏勘，充分了解项目要求。</w:t>
      </w:r>
    </w:p>
    <w:p w14:paraId="4A902FC5">
      <w:pPr>
        <w:spacing w:line="46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8、愿意向贵方提供任何与该项木有关的数据、情况和技术资料，完全理解贵方不一定接受最低价成交的决定。</w:t>
      </w:r>
    </w:p>
    <w:p w14:paraId="18A3DD93">
      <w:pPr>
        <w:spacing w:line="40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9、本文件自磋商之日起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6</w:t>
      </w:r>
      <w:r>
        <w:rPr>
          <w:rFonts w:hint="eastAsia" w:ascii="仿宋" w:hAnsi="仿宋" w:eastAsia="仿宋" w:cs="仿宋"/>
          <w:color w:val="auto"/>
          <w:sz w:val="24"/>
          <w:highlight w:val="none"/>
          <w:u w:val="single"/>
        </w:rPr>
        <w:t xml:space="preserve">0 </w:t>
      </w:r>
      <w:r>
        <w:rPr>
          <w:rFonts w:hint="eastAsia" w:ascii="仿宋" w:hAnsi="仿宋" w:eastAsia="仿宋" w:cs="仿宋"/>
          <w:color w:val="auto"/>
          <w:sz w:val="24"/>
          <w:highlight w:val="none"/>
        </w:rPr>
        <w:t>天内有效。</w:t>
      </w:r>
    </w:p>
    <w:p w14:paraId="07E36D75">
      <w:pPr>
        <w:spacing w:line="40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10、与本项目有关的一切往来通讯请寄：</w:t>
      </w:r>
    </w:p>
    <w:p w14:paraId="0CB86ADE">
      <w:pPr>
        <w:spacing w:line="400" w:lineRule="exact"/>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p>
    <w:p w14:paraId="5778162B">
      <w:pPr>
        <w:spacing w:line="400" w:lineRule="exact"/>
        <w:ind w:firstLine="960" w:firstLineChars="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邮编：电话：传真：</w:t>
      </w:r>
    </w:p>
    <w:p w14:paraId="45CF1D53">
      <w:pPr>
        <w:spacing w:before="156" w:beforeLines="50" w:after="156" w:afterLines="50" w:line="400" w:lineRule="exact"/>
        <w:ind w:right="840"/>
        <w:rPr>
          <w:rFonts w:hint="eastAsia" w:ascii="仿宋" w:hAnsi="仿宋" w:eastAsia="仿宋" w:cs="仿宋"/>
          <w:color w:val="auto"/>
          <w:sz w:val="24"/>
          <w:highlight w:val="none"/>
        </w:rPr>
      </w:pPr>
    </w:p>
    <w:p w14:paraId="35B2693E">
      <w:pPr>
        <w:spacing w:before="156" w:beforeLines="50" w:after="156" w:afterLines="50" w:line="400" w:lineRule="exact"/>
        <w:ind w:right="840"/>
        <w:rPr>
          <w:rFonts w:hint="eastAsia" w:ascii="仿宋" w:hAnsi="仿宋" w:eastAsia="仿宋" w:cs="仿宋"/>
          <w:color w:val="auto"/>
          <w:sz w:val="24"/>
          <w:highlight w:val="none"/>
        </w:rPr>
      </w:pPr>
    </w:p>
    <w:p w14:paraId="3EF1759E">
      <w:pPr>
        <w:spacing w:before="156" w:beforeLines="50" w:after="156" w:afterLines="50" w:line="400" w:lineRule="exact"/>
        <w:ind w:right="840" w:firstLine="4320" w:firstLineChars="18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供应商（盖章）：</w:t>
      </w:r>
    </w:p>
    <w:p w14:paraId="5AB10DC3">
      <w:pPr>
        <w:spacing w:before="156" w:beforeLines="50" w:after="156" w:afterLines="50" w:line="400" w:lineRule="exact"/>
        <w:ind w:right="840" w:firstLine="4320" w:firstLineChars="18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授权代表（签字）：</w:t>
      </w:r>
    </w:p>
    <w:p w14:paraId="17281E03">
      <w:pPr>
        <w:pStyle w:val="15"/>
        <w:ind w:right="840" w:firstLine="4800" w:firstLineChars="2000"/>
        <w:rPr>
          <w:rFonts w:hint="eastAsia" w:ascii="仿宋" w:hAnsi="仿宋" w:eastAsia="仿宋" w:cs="仿宋"/>
          <w:color w:val="auto"/>
          <w:highlight w:val="none"/>
        </w:rPr>
      </w:pPr>
      <w:r>
        <w:rPr>
          <w:rFonts w:hint="eastAsia" w:ascii="仿宋" w:hAnsi="仿宋" w:eastAsia="仿宋" w:cs="仿宋"/>
          <w:color w:val="auto"/>
          <w:highlight w:val="none"/>
        </w:rPr>
        <w:t xml:space="preserve">日期：     </w:t>
      </w:r>
    </w:p>
    <w:p w14:paraId="0855DE3B">
      <w:pPr>
        <w:ind w:firstLine="315" w:firstLineChars="150"/>
        <w:rPr>
          <w:rFonts w:hint="eastAsia" w:ascii="仿宋" w:hAnsi="仿宋" w:eastAsia="仿宋" w:cs="仿宋"/>
          <w:color w:val="auto"/>
          <w:highlight w:val="none"/>
        </w:rPr>
      </w:pPr>
    </w:p>
    <w:p w14:paraId="0C39A2F1">
      <w:pPr>
        <w:spacing w:line="400" w:lineRule="exact"/>
        <w:jc w:val="left"/>
        <w:rPr>
          <w:rFonts w:hint="eastAsia" w:ascii="仿宋" w:hAnsi="仿宋" w:eastAsia="仿宋" w:cs="仿宋"/>
          <w:color w:val="auto"/>
          <w:sz w:val="28"/>
          <w:szCs w:val="28"/>
          <w:highlight w:val="none"/>
        </w:rPr>
      </w:pPr>
    </w:p>
    <w:p w14:paraId="41872CB4">
      <w:pPr>
        <w:spacing w:line="400" w:lineRule="exact"/>
        <w:jc w:val="left"/>
        <w:rPr>
          <w:rFonts w:hint="eastAsia" w:ascii="仿宋" w:hAnsi="仿宋" w:eastAsia="仿宋" w:cs="仿宋"/>
          <w:color w:val="auto"/>
          <w:sz w:val="28"/>
          <w:szCs w:val="28"/>
          <w:highlight w:val="none"/>
        </w:rPr>
      </w:pPr>
    </w:p>
    <w:p w14:paraId="39F21BF4">
      <w:pPr>
        <w:spacing w:line="400" w:lineRule="exact"/>
        <w:jc w:val="left"/>
        <w:rPr>
          <w:rFonts w:hint="eastAsia" w:ascii="仿宋" w:hAnsi="仿宋" w:eastAsia="仿宋" w:cs="仿宋"/>
          <w:color w:val="auto"/>
          <w:sz w:val="28"/>
          <w:szCs w:val="28"/>
          <w:highlight w:val="none"/>
        </w:rPr>
      </w:pPr>
    </w:p>
    <w:p w14:paraId="1ED6A754">
      <w:pPr>
        <w:spacing w:line="400" w:lineRule="exact"/>
        <w:jc w:val="left"/>
        <w:rPr>
          <w:rFonts w:hint="eastAsia" w:ascii="仿宋" w:hAnsi="仿宋" w:eastAsia="仿宋" w:cs="仿宋"/>
          <w:color w:val="auto"/>
          <w:sz w:val="28"/>
          <w:szCs w:val="28"/>
          <w:highlight w:val="none"/>
        </w:rPr>
      </w:pPr>
    </w:p>
    <w:p w14:paraId="4E2787DB">
      <w:pPr>
        <w:spacing w:line="400" w:lineRule="exact"/>
        <w:jc w:val="left"/>
        <w:rPr>
          <w:rFonts w:hint="eastAsia" w:ascii="仿宋" w:hAnsi="仿宋" w:eastAsia="仿宋" w:cs="仿宋"/>
          <w:b/>
          <w:bCs/>
          <w:color w:val="auto"/>
          <w:sz w:val="28"/>
          <w:szCs w:val="28"/>
          <w:highlight w:val="none"/>
        </w:rPr>
      </w:pPr>
    </w:p>
    <w:p w14:paraId="66ADFC97">
      <w:pPr>
        <w:spacing w:line="400" w:lineRule="exact"/>
        <w:jc w:val="left"/>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7</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val="en-US" w:eastAsia="zh-CN"/>
        </w:rPr>
        <w:t>首次</w:t>
      </w:r>
      <w:r>
        <w:rPr>
          <w:rFonts w:hint="eastAsia" w:ascii="仿宋" w:hAnsi="仿宋" w:eastAsia="仿宋" w:cs="仿宋"/>
          <w:b/>
          <w:bCs/>
          <w:color w:val="auto"/>
          <w:sz w:val="28"/>
          <w:szCs w:val="28"/>
          <w:highlight w:val="none"/>
        </w:rPr>
        <w:t>报价表格式</w:t>
      </w:r>
    </w:p>
    <w:p w14:paraId="31993019">
      <w:pPr>
        <w:rPr>
          <w:rFonts w:hint="eastAsia" w:ascii="仿宋" w:hAnsi="仿宋" w:eastAsia="仿宋" w:cs="仿宋"/>
          <w:color w:val="auto"/>
          <w:sz w:val="32"/>
          <w:highlight w:val="none"/>
        </w:rPr>
      </w:pPr>
    </w:p>
    <w:p w14:paraId="1186764D">
      <w:pPr>
        <w:spacing w:line="360" w:lineRule="auto"/>
        <w:jc w:val="center"/>
        <w:outlineLvl w:val="9"/>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lang w:val="en-US" w:eastAsia="zh-CN"/>
        </w:rPr>
        <w:t>首</w:t>
      </w:r>
      <w:r>
        <w:rPr>
          <w:rFonts w:hint="eastAsia" w:ascii="仿宋" w:hAnsi="仿宋" w:eastAsia="仿宋" w:cs="仿宋"/>
          <w:b/>
          <w:bCs/>
          <w:color w:val="auto"/>
          <w:kern w:val="0"/>
          <w:sz w:val="32"/>
          <w:szCs w:val="32"/>
          <w:highlight w:val="none"/>
        </w:rPr>
        <w:t xml:space="preserve"> 次 报 价 表</w:t>
      </w:r>
    </w:p>
    <w:p w14:paraId="7D564EBB">
      <w:pPr>
        <w:pStyle w:val="6"/>
        <w:tabs>
          <w:tab w:val="left" w:pos="4477"/>
        </w:tabs>
        <w:spacing w:line="400" w:lineRule="exact"/>
        <w:rPr>
          <w:rFonts w:hint="eastAsia" w:ascii="仿宋" w:hAnsi="仿宋" w:eastAsia="仿宋" w:cs="仿宋"/>
          <w:color w:val="auto"/>
          <w:szCs w:val="24"/>
          <w:highlight w:val="none"/>
        </w:rPr>
      </w:pPr>
    </w:p>
    <w:p w14:paraId="6879AC35">
      <w:pPr>
        <w:spacing w:line="400" w:lineRule="exact"/>
        <w:ind w:firstLine="30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供应商全称（加盖公章）：   </w:t>
      </w:r>
    </w:p>
    <w:p w14:paraId="62F519C7">
      <w:pPr>
        <w:spacing w:line="400" w:lineRule="exact"/>
        <w:ind w:firstLine="309"/>
        <w:rPr>
          <w:rFonts w:hint="eastAsia" w:ascii="仿宋" w:hAnsi="仿宋" w:eastAsia="仿宋" w:cs="仿宋"/>
          <w:color w:val="auto"/>
          <w:sz w:val="24"/>
          <w:highlight w:val="none"/>
        </w:rPr>
      </w:pPr>
    </w:p>
    <w:p w14:paraId="62C05A2B">
      <w:pPr>
        <w:spacing w:line="400" w:lineRule="exact"/>
        <w:ind w:firstLine="309"/>
        <w:rPr>
          <w:rFonts w:hint="eastAsia" w:ascii="仿宋" w:hAnsi="仿宋" w:eastAsia="仿宋" w:cs="仿宋"/>
          <w:color w:val="auto"/>
          <w:highlight w:val="none"/>
        </w:rPr>
      </w:pPr>
      <w:r>
        <w:rPr>
          <w:rFonts w:hint="eastAsia" w:ascii="仿宋" w:hAnsi="仿宋" w:eastAsia="仿宋" w:cs="仿宋"/>
          <w:color w:val="auto"/>
          <w:sz w:val="24"/>
          <w:highlight w:val="none"/>
        </w:rPr>
        <w:t xml:space="preserve">项目编号：                                         </w:t>
      </w:r>
    </w:p>
    <w:tbl>
      <w:tblPr>
        <w:tblStyle w:val="33"/>
        <w:tblW w:w="9679" w:type="dxa"/>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3198"/>
        <w:gridCol w:w="6481"/>
      </w:tblGrid>
      <w:tr w14:paraId="4705684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933" w:hRule="atLeast"/>
          <w:jc w:val="center"/>
        </w:trPr>
        <w:tc>
          <w:tcPr>
            <w:tcW w:w="3198" w:type="dxa"/>
            <w:tcBorders>
              <w:tl2br w:val="nil"/>
              <w:tr2bl w:val="nil"/>
            </w:tcBorders>
            <w:vAlign w:val="center"/>
          </w:tcPr>
          <w:p w14:paraId="7C8389C7">
            <w:pPr>
              <w:spacing w:line="5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6481" w:type="dxa"/>
            <w:tcBorders>
              <w:tl2br w:val="nil"/>
              <w:tr2bl w:val="nil"/>
            </w:tcBorders>
            <w:vAlign w:val="center"/>
          </w:tcPr>
          <w:p w14:paraId="0552394B">
            <w:pPr>
              <w:spacing w:line="540" w:lineRule="exact"/>
              <w:jc w:val="center"/>
              <w:rPr>
                <w:rFonts w:hint="eastAsia" w:ascii="仿宋" w:hAnsi="仿宋" w:eastAsia="仿宋" w:cs="仿宋"/>
                <w:color w:val="auto"/>
                <w:sz w:val="24"/>
                <w:highlight w:val="none"/>
              </w:rPr>
            </w:pPr>
          </w:p>
        </w:tc>
      </w:tr>
      <w:tr w14:paraId="1B9E43A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1088" w:hRule="atLeast"/>
          <w:jc w:val="center"/>
        </w:trPr>
        <w:tc>
          <w:tcPr>
            <w:tcW w:w="3198" w:type="dxa"/>
            <w:tcBorders>
              <w:tl2br w:val="nil"/>
              <w:tr2bl w:val="nil"/>
            </w:tcBorders>
            <w:vAlign w:val="center"/>
          </w:tcPr>
          <w:p w14:paraId="24F9F62B">
            <w:pPr>
              <w:spacing w:line="5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报价（元）</w:t>
            </w:r>
          </w:p>
        </w:tc>
        <w:tc>
          <w:tcPr>
            <w:tcW w:w="6481" w:type="dxa"/>
            <w:tcBorders>
              <w:tl2br w:val="nil"/>
              <w:tr2bl w:val="nil"/>
            </w:tcBorders>
            <w:vAlign w:val="center"/>
          </w:tcPr>
          <w:p w14:paraId="3D6BEA58">
            <w:pPr>
              <w:spacing w:line="540" w:lineRule="exact"/>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大写：</w:t>
            </w:r>
          </w:p>
          <w:p w14:paraId="388F484D">
            <w:pPr>
              <w:pStyle w:val="40"/>
              <w:rPr>
                <w:rFonts w:hint="default"/>
                <w:color w:val="auto"/>
                <w:highlight w:val="none"/>
                <w:lang w:val="en-US" w:eastAsia="zh-CN"/>
              </w:rPr>
            </w:pPr>
            <w:r>
              <w:rPr>
                <w:rFonts w:hint="eastAsia" w:ascii="仿宋" w:hAnsi="仿宋" w:eastAsia="仿宋" w:cs="仿宋"/>
                <w:color w:val="auto"/>
                <w:sz w:val="24"/>
                <w:highlight w:val="none"/>
                <w:lang w:val="en-US" w:eastAsia="zh-CN"/>
              </w:rPr>
              <w:t>小写：</w:t>
            </w:r>
          </w:p>
        </w:tc>
      </w:tr>
    </w:tbl>
    <w:p w14:paraId="4DD08F87">
      <w:pPr>
        <w:pStyle w:val="15"/>
        <w:spacing w:before="0" w:beforeAutospacing="0" w:after="0" w:afterAutospacing="0"/>
        <w:ind w:firstLine="482" w:firstLineChars="200"/>
        <w:rPr>
          <w:rFonts w:hint="eastAsia" w:ascii="仿宋" w:hAnsi="仿宋" w:eastAsia="仿宋" w:cs="仿宋"/>
          <w:b/>
          <w:color w:val="auto"/>
          <w:highlight w:val="none"/>
        </w:rPr>
      </w:pPr>
    </w:p>
    <w:p w14:paraId="62B51A45">
      <w:pPr>
        <w:pStyle w:val="15"/>
        <w:spacing w:before="0" w:beforeAutospacing="0" w:after="0" w:afterAutospacing="0"/>
        <w:ind w:firstLine="482" w:firstLineChars="200"/>
        <w:rPr>
          <w:rFonts w:hint="eastAsia" w:ascii="仿宋" w:hAnsi="仿宋" w:eastAsia="仿宋" w:cs="仿宋"/>
          <w:bCs/>
          <w:color w:val="auto"/>
          <w:highlight w:val="none"/>
        </w:rPr>
      </w:pPr>
      <w:r>
        <w:rPr>
          <w:rFonts w:hint="eastAsia" w:ascii="仿宋" w:hAnsi="仿宋" w:eastAsia="仿宋" w:cs="仿宋"/>
          <w:b/>
          <w:color w:val="auto"/>
          <w:highlight w:val="none"/>
        </w:rPr>
        <w:t>注：</w:t>
      </w:r>
    </w:p>
    <w:p w14:paraId="2A550EC6">
      <w:pPr>
        <w:snapToGrid w:val="0"/>
        <w:spacing w:before="50" w:after="50" w:line="360" w:lineRule="auto"/>
        <w:ind w:firstLine="420" w:firstLineChars="200"/>
        <w:jc w:val="left"/>
        <w:rPr>
          <w:rFonts w:hint="eastAsia" w:ascii="仿宋" w:hAnsi="仿宋" w:eastAsia="仿宋" w:cs="仿宋"/>
          <w:bCs/>
          <w:color w:val="auto"/>
          <w:highlight w:val="none"/>
        </w:rPr>
      </w:pPr>
      <w:r>
        <w:rPr>
          <w:rFonts w:hint="eastAsia" w:ascii="仿宋" w:hAnsi="仿宋" w:eastAsia="仿宋" w:cs="仿宋"/>
          <w:bCs/>
          <w:color w:val="auto"/>
          <w:highlight w:val="none"/>
        </w:rPr>
        <w:t>▲1、报价一经涂改，应在涂改处加盖单位公章或者由法定代表人或授权委托人签字或盖章，否则其投标作无效标处理。</w:t>
      </w:r>
    </w:p>
    <w:p w14:paraId="68AAB520">
      <w:pPr>
        <w:snapToGrid w:val="0"/>
        <w:spacing w:before="50" w:after="50" w:line="360" w:lineRule="auto"/>
        <w:ind w:firstLine="420" w:firstLineChars="200"/>
        <w:jc w:val="left"/>
        <w:rPr>
          <w:rFonts w:hint="eastAsia" w:ascii="仿宋" w:hAnsi="仿宋" w:eastAsia="仿宋" w:cs="仿宋"/>
          <w:bCs/>
          <w:color w:val="auto"/>
          <w:highlight w:val="none"/>
        </w:rPr>
      </w:pPr>
      <w:r>
        <w:rPr>
          <w:rFonts w:hint="eastAsia" w:ascii="仿宋" w:hAnsi="仿宋" w:eastAsia="仿宋" w:cs="仿宋"/>
          <w:bCs/>
          <w:color w:val="auto"/>
          <w:highlight w:val="none"/>
        </w:rPr>
        <w:t>▲2、</w:t>
      </w:r>
      <w:r>
        <w:rPr>
          <w:rFonts w:hint="eastAsia" w:ascii="仿宋" w:hAnsi="仿宋" w:eastAsia="仿宋" w:cs="仿宋"/>
          <w:bCs/>
          <w:color w:val="auto"/>
          <w:highlight w:val="none"/>
          <w:lang w:val="en-US" w:eastAsia="zh-CN"/>
        </w:rPr>
        <w:t>报价</w:t>
      </w:r>
      <w:r>
        <w:rPr>
          <w:rFonts w:hint="eastAsia" w:ascii="仿宋" w:hAnsi="仿宋" w:eastAsia="仿宋" w:cs="仿宋"/>
          <w:bCs/>
          <w:color w:val="auto"/>
          <w:highlight w:val="none"/>
        </w:rPr>
        <w:t>即应包括劳务、管理、各类人员工资、利润、税金等的所有费用；凡未列入的，将被视为均已包含在</w:t>
      </w:r>
      <w:r>
        <w:rPr>
          <w:rFonts w:hint="eastAsia" w:ascii="仿宋" w:hAnsi="仿宋" w:eastAsia="仿宋" w:cs="仿宋"/>
          <w:bCs/>
          <w:color w:val="auto"/>
          <w:highlight w:val="none"/>
          <w:lang w:val="en-US" w:eastAsia="zh-CN"/>
        </w:rPr>
        <w:t>磋商</w:t>
      </w:r>
      <w:r>
        <w:rPr>
          <w:rFonts w:hint="eastAsia" w:ascii="仿宋" w:hAnsi="仿宋" w:eastAsia="仿宋" w:cs="仿宋"/>
          <w:bCs/>
          <w:color w:val="auto"/>
          <w:highlight w:val="none"/>
        </w:rPr>
        <w:t>总报价中。</w:t>
      </w:r>
    </w:p>
    <w:p w14:paraId="35289DAD">
      <w:pPr>
        <w:snapToGrid w:val="0"/>
        <w:spacing w:before="50" w:after="50" w:line="360" w:lineRule="auto"/>
        <w:ind w:firstLine="420" w:firstLineChars="200"/>
        <w:jc w:val="left"/>
        <w:rPr>
          <w:rFonts w:hint="eastAsia" w:ascii="仿宋" w:hAnsi="仿宋" w:eastAsia="仿宋" w:cs="仿宋"/>
          <w:bCs/>
          <w:color w:val="auto"/>
          <w:highlight w:val="none"/>
        </w:rPr>
      </w:pPr>
      <w:r>
        <w:rPr>
          <w:rFonts w:hint="eastAsia" w:ascii="仿宋" w:hAnsi="仿宋" w:eastAsia="仿宋" w:cs="仿宋"/>
          <w:bCs/>
          <w:color w:val="auto"/>
          <w:highlight w:val="none"/>
        </w:rPr>
        <w:t>▲3、不提供此表格的将视为没有实质性响应磋商文件。</w:t>
      </w:r>
    </w:p>
    <w:p w14:paraId="7B00F71E">
      <w:pPr>
        <w:pStyle w:val="43"/>
        <w:ind w:firstLine="420"/>
        <w:rPr>
          <w:rFonts w:hint="eastAsia" w:ascii="仿宋" w:hAnsi="仿宋" w:eastAsia="仿宋" w:cs="仿宋"/>
          <w:color w:val="auto"/>
          <w:highlight w:val="none"/>
        </w:rPr>
      </w:pPr>
    </w:p>
    <w:p w14:paraId="2C40A331">
      <w:pPr>
        <w:pStyle w:val="43"/>
        <w:ind w:firstLine="420"/>
        <w:rPr>
          <w:rFonts w:hint="eastAsia" w:ascii="仿宋" w:hAnsi="仿宋" w:eastAsia="仿宋" w:cs="仿宋"/>
          <w:color w:val="auto"/>
          <w:highlight w:val="none"/>
        </w:rPr>
      </w:pPr>
    </w:p>
    <w:p w14:paraId="0D42A03A">
      <w:pPr>
        <w:pStyle w:val="43"/>
        <w:ind w:firstLine="420"/>
        <w:rPr>
          <w:rFonts w:hint="eastAsia" w:ascii="仿宋" w:hAnsi="仿宋" w:eastAsia="仿宋" w:cs="仿宋"/>
          <w:color w:val="auto"/>
          <w:highlight w:val="none"/>
        </w:rPr>
      </w:pPr>
    </w:p>
    <w:p w14:paraId="61ACC564">
      <w:pPr>
        <w:pStyle w:val="43"/>
        <w:ind w:firstLine="420"/>
        <w:rPr>
          <w:rFonts w:hint="eastAsia" w:ascii="仿宋" w:hAnsi="仿宋" w:eastAsia="仿宋" w:cs="仿宋"/>
          <w:color w:val="auto"/>
          <w:highlight w:val="none"/>
        </w:rPr>
      </w:pPr>
    </w:p>
    <w:p w14:paraId="0388869A">
      <w:pPr>
        <w:widowControl/>
        <w:spacing w:line="360" w:lineRule="auto"/>
        <w:ind w:firstLine="4320" w:firstLineChars="18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供应商全称：                （盖章）</w:t>
      </w:r>
    </w:p>
    <w:p w14:paraId="32A98F7E">
      <w:pPr>
        <w:widowControl/>
        <w:spacing w:line="360" w:lineRule="auto"/>
        <w:ind w:firstLine="4320" w:firstLineChars="18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授权代表：             （签字）</w:t>
      </w:r>
    </w:p>
    <w:p w14:paraId="79403B23">
      <w:pPr>
        <w:widowControl/>
        <w:spacing w:line="360" w:lineRule="auto"/>
        <w:ind w:firstLine="4320" w:firstLineChars="18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73CBD423">
      <w:pPr>
        <w:pStyle w:val="2"/>
        <w:rPr>
          <w:rFonts w:hint="eastAsia"/>
        </w:rPr>
      </w:pPr>
    </w:p>
    <w:p w14:paraId="45DAD370">
      <w:pPr>
        <w:pStyle w:val="6"/>
        <w:spacing w:line="500" w:lineRule="exact"/>
        <w:ind w:firstLine="0"/>
        <w:jc w:val="left"/>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8</w:t>
      </w:r>
      <w:r>
        <w:rPr>
          <w:rFonts w:hint="eastAsia" w:ascii="仿宋" w:hAnsi="仿宋" w:eastAsia="仿宋" w:cs="仿宋"/>
          <w:b/>
          <w:bCs/>
          <w:color w:val="auto"/>
          <w:sz w:val="28"/>
          <w:szCs w:val="28"/>
          <w:highlight w:val="none"/>
        </w:rPr>
        <w:t>、磋商代理服务费承诺函</w:t>
      </w:r>
    </w:p>
    <w:p w14:paraId="3C1A3F60">
      <w:pPr>
        <w:spacing w:line="400" w:lineRule="exact"/>
        <w:jc w:val="left"/>
        <w:outlineLvl w:val="1"/>
        <w:rPr>
          <w:rFonts w:hint="eastAsia" w:ascii="仿宋" w:hAnsi="仿宋" w:eastAsia="仿宋" w:cs="仿宋"/>
          <w:b/>
          <w:bCs/>
          <w:color w:val="auto"/>
          <w:sz w:val="28"/>
          <w:szCs w:val="28"/>
          <w:highlight w:val="none"/>
        </w:rPr>
      </w:pPr>
    </w:p>
    <w:p w14:paraId="1141E52F">
      <w:pPr>
        <w:pStyle w:val="6"/>
        <w:spacing w:line="500" w:lineRule="exact"/>
        <w:jc w:val="center"/>
        <w:outlineLvl w:val="9"/>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磋商代理服务费承诺函</w:t>
      </w:r>
    </w:p>
    <w:p w14:paraId="29B87768">
      <w:pPr>
        <w:pStyle w:val="6"/>
        <w:spacing w:line="500" w:lineRule="exact"/>
        <w:jc w:val="center"/>
        <w:rPr>
          <w:rFonts w:ascii="仿宋" w:hAnsi="仿宋" w:eastAsia="仿宋" w:cs="仿宋"/>
          <w:b/>
          <w:color w:val="auto"/>
          <w:sz w:val="28"/>
          <w:szCs w:val="28"/>
          <w:highlight w:val="none"/>
        </w:rPr>
      </w:pPr>
    </w:p>
    <w:p w14:paraId="3A95ED74">
      <w:pPr>
        <w:pStyle w:val="6"/>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浙江新诚信工程咨询有限公司 ：</w:t>
      </w:r>
    </w:p>
    <w:p w14:paraId="76419A60">
      <w:pPr>
        <w:pStyle w:val="6"/>
        <w:spacing w:line="72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根据磋商文件的规定，一旦我公司成交，我公司同意按磋商文件要求向贵公司交纳成交项目的磋商代理服务费，在收到成交通知书后的当天一次性结清。</w:t>
      </w:r>
    </w:p>
    <w:p w14:paraId="7B453254">
      <w:pPr>
        <w:pStyle w:val="6"/>
        <w:spacing w:line="72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本承诺函自开标之日起至本次采购期满有效。</w:t>
      </w:r>
    </w:p>
    <w:p w14:paraId="27F65E18">
      <w:pPr>
        <w:pStyle w:val="6"/>
        <w:spacing w:line="720" w:lineRule="exact"/>
        <w:jc w:val="left"/>
        <w:rPr>
          <w:rFonts w:ascii="仿宋" w:hAnsi="仿宋" w:eastAsia="仿宋" w:cs="仿宋"/>
          <w:color w:val="auto"/>
          <w:sz w:val="24"/>
          <w:highlight w:val="none"/>
        </w:rPr>
      </w:pPr>
    </w:p>
    <w:p w14:paraId="6856668F">
      <w:pPr>
        <w:pStyle w:val="6"/>
        <w:spacing w:line="720" w:lineRule="exact"/>
        <w:jc w:val="left"/>
        <w:rPr>
          <w:rFonts w:ascii="仿宋" w:hAnsi="仿宋" w:eastAsia="仿宋" w:cs="仿宋"/>
          <w:color w:val="auto"/>
          <w:sz w:val="24"/>
          <w:highlight w:val="none"/>
        </w:rPr>
      </w:pPr>
    </w:p>
    <w:p w14:paraId="6AD4FBB7">
      <w:pPr>
        <w:pStyle w:val="6"/>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法定代表人或授权代理人签字：</w:t>
      </w:r>
    </w:p>
    <w:p w14:paraId="79EA8075">
      <w:pPr>
        <w:pStyle w:val="6"/>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306236EF">
      <w:pPr>
        <w:pStyle w:val="6"/>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日期：2024年  月  日</w:t>
      </w:r>
    </w:p>
    <w:p w14:paraId="295DA17F">
      <w:pPr>
        <w:pBdr>
          <w:bottom w:val="single" w:color="auto" w:sz="6" w:space="1"/>
        </w:pBdr>
        <w:spacing w:line="540" w:lineRule="exact"/>
        <w:rPr>
          <w:rFonts w:ascii="仿宋" w:hAnsi="仿宋" w:eastAsia="仿宋" w:cs="仿宋"/>
          <w:color w:val="auto"/>
          <w:sz w:val="24"/>
          <w:highlight w:val="none"/>
        </w:rPr>
      </w:pPr>
    </w:p>
    <w:p w14:paraId="57DA4294">
      <w:pPr>
        <w:spacing w:line="540" w:lineRule="exact"/>
        <w:rPr>
          <w:rFonts w:ascii="仿宋" w:hAnsi="仿宋" w:eastAsia="仿宋" w:cs="仿宋"/>
          <w:color w:val="auto"/>
          <w:sz w:val="24"/>
          <w:highlight w:val="none"/>
        </w:rPr>
      </w:pPr>
    </w:p>
    <w:p w14:paraId="6672A42E">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r>
        <w:rPr>
          <w:rFonts w:hint="eastAsia" w:ascii="仿宋" w:hAnsi="仿宋" w:eastAsia="仿宋" w:cs="仿宋"/>
          <w:b/>
          <w:bCs/>
          <w:color w:val="auto"/>
          <w:kern w:val="0"/>
          <w:sz w:val="24"/>
          <w:highlight w:val="none"/>
          <w:u w:val="single"/>
          <w:lang w:val="zh-CN"/>
        </w:rPr>
        <w:t>代理费汇款账号：</w:t>
      </w:r>
    </w:p>
    <w:p w14:paraId="3DD43654">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p>
    <w:p w14:paraId="489AD7A4">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账户名称：浙江新诚信工程咨询有限公司湖州分公司</w:t>
      </w:r>
    </w:p>
    <w:p w14:paraId="41DD879A">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开户银行：湖州银行股份有限公司南园支行           </w:t>
      </w:r>
    </w:p>
    <w:p w14:paraId="17DC640C">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银行账号：800028090000155</w:t>
      </w:r>
    </w:p>
    <w:p w14:paraId="37F21B62">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“用途”一栏注明项目编号XCXHZ-2024-0</w:t>
      </w:r>
      <w:r>
        <w:rPr>
          <w:rFonts w:hint="eastAsia" w:ascii="仿宋" w:hAnsi="仿宋" w:eastAsia="仿宋" w:cs="仿宋"/>
          <w:color w:val="auto"/>
          <w:sz w:val="24"/>
          <w:highlight w:val="none"/>
          <w:lang w:val="en-US" w:eastAsia="zh-CN"/>
        </w:rPr>
        <w:t>39</w:t>
      </w:r>
      <w:r>
        <w:rPr>
          <w:rFonts w:hint="eastAsia" w:ascii="仿宋" w:hAnsi="仿宋" w:eastAsia="仿宋" w:cs="仿宋"/>
          <w:color w:val="auto"/>
          <w:sz w:val="24"/>
          <w:highlight w:val="none"/>
        </w:rPr>
        <w:t>(CG)</w:t>
      </w:r>
    </w:p>
    <w:p w14:paraId="7BE2CFE5">
      <w:pPr>
        <w:rPr>
          <w:rFonts w:hint="eastAsia"/>
          <w:color w:val="auto"/>
          <w:highlight w:val="none"/>
        </w:rPr>
      </w:pPr>
    </w:p>
    <w:sectPr>
      <w:pgSz w:w="11906" w:h="16838"/>
      <w:pgMar w:top="1440" w:right="1080" w:bottom="1440" w:left="1080" w:header="567" w:footer="567" w:gutter="0"/>
      <w:pgBorders>
        <w:top w:val="none" w:sz="0" w:space="0"/>
        <w:left w:val="none" w:sz="0" w:space="0"/>
        <w:bottom w:val="thickThinSmallGap" w:color="auto" w:sz="18" w:space="1"/>
        <w:right w:val="none" w:sz="0" w:space="0"/>
      </w:pgBorders>
      <w:pgNumType w:fmt="decimal"/>
      <w:cols w:space="720"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auto"/>
    <w:pitch w:val="default"/>
    <w:sig w:usb0="00000000" w:usb1="00000000" w:usb2="00000000" w:usb3="00000000" w:csb0="0000019F" w:csb1="00000000"/>
  </w:font>
  <w:font w:name="仿宋_GB2312">
    <w:altName w:val="仿宋"/>
    <w:panose1 w:val="02010609030101010101"/>
    <w:charset w:val="86"/>
    <w:family w:val="modern"/>
    <w:pitch w:val="default"/>
    <w:sig w:usb0="00000000" w:usb1="00000000" w:usb2="00000000" w:usb3="00000000" w:csb0="00040000" w:csb1="00000000"/>
  </w:font>
  <w:font w:name="汉仪仿宋简">
    <w:altName w:val="仿宋"/>
    <w:panose1 w:val="00000000000000000000"/>
    <w:charset w:val="86"/>
    <w:family w:val="modern"/>
    <w:pitch w:val="default"/>
    <w:sig w:usb0="00000000" w:usb1="00000000" w:usb2="00000012"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7F4FA">
    <w:pPr>
      <w:pStyle w:val="1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25C562">
                          <w:pPr>
                            <w:pStyle w:val="1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25C562">
                    <w:pPr>
                      <w:pStyle w:val="1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EBBA2">
    <w:pPr>
      <w:pStyle w:val="1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4DADB6">
                          <w:pPr>
                            <w:pStyle w:val="1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94DADB6">
                    <w:pPr>
                      <w:pStyle w:val="1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ACF6F">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CE4E21">
                          <w:pPr>
                            <w:pStyle w:val="1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5ACE4E21">
                    <w:pPr>
                      <w:pStyle w:val="1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168687"/>
    <w:multiLevelType w:val="singleLevel"/>
    <w:tmpl w:val="89168687"/>
    <w:lvl w:ilvl="0" w:tentative="0">
      <w:start w:val="1"/>
      <w:numFmt w:val="decimal"/>
      <w:lvlText w:val="(%1)"/>
      <w:lvlJc w:val="left"/>
      <w:pPr>
        <w:tabs>
          <w:tab w:val="left" w:pos="420"/>
        </w:tabs>
        <w:ind w:left="845" w:hanging="425"/>
      </w:pPr>
      <w:rPr>
        <w:rFonts w:hint="default"/>
      </w:rPr>
    </w:lvl>
  </w:abstractNum>
  <w:abstractNum w:abstractNumId="1">
    <w:nsid w:val="93BB8B15"/>
    <w:multiLevelType w:val="singleLevel"/>
    <w:tmpl w:val="93BB8B15"/>
    <w:lvl w:ilvl="0" w:tentative="0">
      <w:start w:val="1"/>
      <w:numFmt w:val="decimal"/>
      <w:lvlText w:val="(%1)"/>
      <w:lvlJc w:val="left"/>
      <w:pPr>
        <w:tabs>
          <w:tab w:val="left" w:pos="420"/>
        </w:tabs>
        <w:ind w:left="845" w:hanging="425"/>
      </w:pPr>
      <w:rPr>
        <w:rFonts w:hint="default"/>
      </w:rPr>
    </w:lvl>
  </w:abstractNum>
  <w:abstractNum w:abstractNumId="2">
    <w:nsid w:val="A2DE8718"/>
    <w:multiLevelType w:val="singleLevel"/>
    <w:tmpl w:val="A2DE8718"/>
    <w:lvl w:ilvl="0" w:tentative="0">
      <w:start w:val="1"/>
      <w:numFmt w:val="decimal"/>
      <w:lvlText w:val="%1."/>
      <w:lvlJc w:val="left"/>
      <w:pPr>
        <w:ind w:left="425" w:hanging="425"/>
      </w:pPr>
      <w:rPr>
        <w:rFonts w:hint="default"/>
      </w:rPr>
    </w:lvl>
  </w:abstractNum>
  <w:abstractNum w:abstractNumId="3">
    <w:nsid w:val="AE81045E"/>
    <w:multiLevelType w:val="singleLevel"/>
    <w:tmpl w:val="AE81045E"/>
    <w:lvl w:ilvl="0" w:tentative="0">
      <w:start w:val="1"/>
      <w:numFmt w:val="decimal"/>
      <w:lvlText w:val="%1)"/>
      <w:lvlJc w:val="left"/>
      <w:pPr>
        <w:tabs>
          <w:tab w:val="left" w:pos="840"/>
        </w:tabs>
        <w:ind w:left="1265" w:hanging="425"/>
      </w:pPr>
      <w:rPr>
        <w:rFonts w:hint="default"/>
      </w:rPr>
    </w:lvl>
  </w:abstractNum>
  <w:abstractNum w:abstractNumId="4">
    <w:nsid w:val="AEA05233"/>
    <w:multiLevelType w:val="singleLevel"/>
    <w:tmpl w:val="AEA05233"/>
    <w:lvl w:ilvl="0" w:tentative="0">
      <w:start w:val="1"/>
      <w:numFmt w:val="decimal"/>
      <w:lvlText w:val="(%1)"/>
      <w:lvlJc w:val="left"/>
      <w:pPr>
        <w:ind w:left="425" w:hanging="425"/>
      </w:pPr>
      <w:rPr>
        <w:rFonts w:hint="default"/>
      </w:rPr>
    </w:lvl>
  </w:abstractNum>
  <w:abstractNum w:abstractNumId="5">
    <w:nsid w:val="BB180907"/>
    <w:multiLevelType w:val="singleLevel"/>
    <w:tmpl w:val="BB180907"/>
    <w:lvl w:ilvl="0" w:tentative="0">
      <w:start w:val="1"/>
      <w:numFmt w:val="decimal"/>
      <w:lvlText w:val="(%1)"/>
      <w:lvlJc w:val="left"/>
      <w:pPr>
        <w:tabs>
          <w:tab w:val="left" w:pos="840"/>
        </w:tabs>
        <w:ind w:left="1265" w:hanging="425"/>
      </w:pPr>
      <w:rPr>
        <w:rFonts w:hint="default"/>
      </w:rPr>
    </w:lvl>
  </w:abstractNum>
  <w:abstractNum w:abstractNumId="6">
    <w:nsid w:val="BDF7D81D"/>
    <w:multiLevelType w:val="singleLevel"/>
    <w:tmpl w:val="BDF7D81D"/>
    <w:lvl w:ilvl="0" w:tentative="0">
      <w:start w:val="1"/>
      <w:numFmt w:val="decimal"/>
      <w:lvlText w:val="(%1)"/>
      <w:lvlJc w:val="left"/>
      <w:pPr>
        <w:tabs>
          <w:tab w:val="left" w:pos="420"/>
        </w:tabs>
        <w:ind w:left="845" w:hanging="425"/>
      </w:pPr>
      <w:rPr>
        <w:rFonts w:hint="default"/>
      </w:rPr>
    </w:lvl>
  </w:abstractNum>
  <w:abstractNum w:abstractNumId="7">
    <w:nsid w:val="C99FF362"/>
    <w:multiLevelType w:val="singleLevel"/>
    <w:tmpl w:val="C99FF362"/>
    <w:lvl w:ilvl="0" w:tentative="0">
      <w:start w:val="1"/>
      <w:numFmt w:val="decimal"/>
      <w:lvlText w:val="%1."/>
      <w:lvlJc w:val="left"/>
      <w:pPr>
        <w:tabs>
          <w:tab w:val="left" w:pos="420"/>
        </w:tabs>
        <w:ind w:left="845" w:hanging="425"/>
      </w:pPr>
      <w:rPr>
        <w:rFonts w:hint="default"/>
      </w:rPr>
    </w:lvl>
  </w:abstractNum>
  <w:abstractNum w:abstractNumId="8">
    <w:nsid w:val="CDD1ED93"/>
    <w:multiLevelType w:val="singleLevel"/>
    <w:tmpl w:val="CDD1ED93"/>
    <w:lvl w:ilvl="0" w:tentative="0">
      <w:start w:val="1"/>
      <w:numFmt w:val="decimal"/>
      <w:lvlText w:val="%1)"/>
      <w:lvlJc w:val="left"/>
      <w:pPr>
        <w:tabs>
          <w:tab w:val="left" w:pos="840"/>
        </w:tabs>
        <w:ind w:left="1265" w:hanging="425"/>
      </w:pPr>
      <w:rPr>
        <w:rFonts w:hint="default"/>
      </w:rPr>
    </w:lvl>
  </w:abstractNum>
  <w:abstractNum w:abstractNumId="9">
    <w:nsid w:val="DF143004"/>
    <w:multiLevelType w:val="singleLevel"/>
    <w:tmpl w:val="DF143004"/>
    <w:lvl w:ilvl="0" w:tentative="0">
      <w:start w:val="1"/>
      <w:numFmt w:val="decimal"/>
      <w:lvlText w:val="(%1)"/>
      <w:lvlJc w:val="left"/>
      <w:pPr>
        <w:tabs>
          <w:tab w:val="left" w:pos="840"/>
        </w:tabs>
        <w:ind w:left="1265" w:hanging="425"/>
      </w:pPr>
      <w:rPr>
        <w:rFonts w:hint="default"/>
      </w:rPr>
    </w:lvl>
  </w:abstractNum>
  <w:abstractNum w:abstractNumId="10">
    <w:nsid w:val="ECF3F320"/>
    <w:multiLevelType w:val="singleLevel"/>
    <w:tmpl w:val="ECF3F320"/>
    <w:lvl w:ilvl="0" w:tentative="0">
      <w:start w:val="1"/>
      <w:numFmt w:val="decimal"/>
      <w:lvlText w:val="(%1)"/>
      <w:lvlJc w:val="left"/>
      <w:pPr>
        <w:tabs>
          <w:tab w:val="left" w:pos="840"/>
        </w:tabs>
        <w:ind w:left="1265" w:hanging="425"/>
      </w:pPr>
      <w:rPr>
        <w:rFonts w:hint="default"/>
      </w:rPr>
    </w:lvl>
  </w:abstractNum>
  <w:abstractNum w:abstractNumId="11">
    <w:nsid w:val="EF1A6335"/>
    <w:multiLevelType w:val="singleLevel"/>
    <w:tmpl w:val="EF1A6335"/>
    <w:lvl w:ilvl="0" w:tentative="0">
      <w:start w:val="1"/>
      <w:numFmt w:val="decimal"/>
      <w:lvlText w:val="(%1)"/>
      <w:lvlJc w:val="left"/>
      <w:pPr>
        <w:tabs>
          <w:tab w:val="left" w:pos="420"/>
        </w:tabs>
        <w:ind w:left="845" w:hanging="425"/>
      </w:pPr>
      <w:rPr>
        <w:rFonts w:hint="default"/>
      </w:rPr>
    </w:lvl>
  </w:abstractNum>
  <w:abstractNum w:abstractNumId="12">
    <w:nsid w:val="F7C459B5"/>
    <w:multiLevelType w:val="singleLevel"/>
    <w:tmpl w:val="F7C459B5"/>
    <w:lvl w:ilvl="0" w:tentative="0">
      <w:start w:val="1"/>
      <w:numFmt w:val="decimal"/>
      <w:lvlText w:val="(%1)"/>
      <w:lvlJc w:val="left"/>
      <w:pPr>
        <w:ind w:left="425" w:hanging="425"/>
      </w:pPr>
      <w:rPr>
        <w:rFonts w:hint="default"/>
      </w:rPr>
    </w:lvl>
  </w:abstractNum>
  <w:abstractNum w:abstractNumId="13">
    <w:nsid w:val="FA58A1BA"/>
    <w:multiLevelType w:val="singleLevel"/>
    <w:tmpl w:val="FA58A1BA"/>
    <w:lvl w:ilvl="0" w:tentative="0">
      <w:start w:val="2"/>
      <w:numFmt w:val="decimal"/>
      <w:suff w:val="nothing"/>
      <w:lvlText w:val="%1、"/>
      <w:lvlJc w:val="left"/>
    </w:lvl>
  </w:abstractNum>
  <w:abstractNum w:abstractNumId="14">
    <w:nsid w:val="16F309C5"/>
    <w:multiLevelType w:val="singleLevel"/>
    <w:tmpl w:val="16F309C5"/>
    <w:lvl w:ilvl="0" w:tentative="0">
      <w:start w:val="1"/>
      <w:numFmt w:val="decimal"/>
      <w:lvlText w:val="(%1)"/>
      <w:lvlJc w:val="left"/>
      <w:pPr>
        <w:tabs>
          <w:tab w:val="left" w:pos="420"/>
        </w:tabs>
        <w:ind w:left="845" w:hanging="425"/>
      </w:pPr>
      <w:rPr>
        <w:rFonts w:hint="default"/>
      </w:rPr>
    </w:lvl>
  </w:abstractNum>
  <w:abstractNum w:abstractNumId="15">
    <w:nsid w:val="22410D17"/>
    <w:multiLevelType w:val="singleLevel"/>
    <w:tmpl w:val="22410D17"/>
    <w:lvl w:ilvl="0" w:tentative="0">
      <w:start w:val="1"/>
      <w:numFmt w:val="decimal"/>
      <w:suff w:val="nothing"/>
      <w:lvlText w:val="%1．"/>
      <w:lvlJc w:val="left"/>
      <w:pPr>
        <w:ind w:left="0" w:firstLine="400"/>
      </w:pPr>
      <w:rPr>
        <w:rFonts w:hint="default"/>
      </w:rPr>
    </w:lvl>
  </w:abstractNum>
  <w:abstractNum w:abstractNumId="16">
    <w:nsid w:val="379E6130"/>
    <w:multiLevelType w:val="singleLevel"/>
    <w:tmpl w:val="379E6130"/>
    <w:lvl w:ilvl="0" w:tentative="0">
      <w:start w:val="1"/>
      <w:numFmt w:val="decimal"/>
      <w:lvlText w:val="(%1)"/>
      <w:lvlJc w:val="left"/>
      <w:pPr>
        <w:ind w:left="425" w:hanging="425"/>
      </w:pPr>
      <w:rPr>
        <w:rFonts w:hint="default"/>
      </w:rPr>
    </w:lvl>
  </w:abstractNum>
  <w:abstractNum w:abstractNumId="17">
    <w:nsid w:val="5666478B"/>
    <w:multiLevelType w:val="singleLevel"/>
    <w:tmpl w:val="5666478B"/>
    <w:lvl w:ilvl="0" w:tentative="0">
      <w:start w:val="1"/>
      <w:numFmt w:val="decimal"/>
      <w:lvlText w:val="%1)"/>
      <w:lvlJc w:val="left"/>
      <w:pPr>
        <w:tabs>
          <w:tab w:val="left" w:pos="840"/>
        </w:tabs>
        <w:ind w:left="1265" w:hanging="425"/>
      </w:pPr>
      <w:rPr>
        <w:rFonts w:hint="default"/>
      </w:rPr>
    </w:lvl>
  </w:abstractNum>
  <w:abstractNum w:abstractNumId="18">
    <w:nsid w:val="61841E5D"/>
    <w:multiLevelType w:val="singleLevel"/>
    <w:tmpl w:val="61841E5D"/>
    <w:lvl w:ilvl="0" w:tentative="0">
      <w:start w:val="1"/>
      <w:numFmt w:val="decimal"/>
      <w:lvlText w:val="(%1)"/>
      <w:lvlJc w:val="left"/>
      <w:pPr>
        <w:tabs>
          <w:tab w:val="left" w:pos="420"/>
        </w:tabs>
        <w:ind w:left="845" w:hanging="425"/>
      </w:pPr>
      <w:rPr>
        <w:rFonts w:hint="default"/>
      </w:rPr>
    </w:lvl>
  </w:abstractNum>
  <w:abstractNum w:abstractNumId="19">
    <w:nsid w:val="6DC243DA"/>
    <w:multiLevelType w:val="singleLevel"/>
    <w:tmpl w:val="6DC243DA"/>
    <w:lvl w:ilvl="0" w:tentative="0">
      <w:start w:val="1"/>
      <w:numFmt w:val="decimal"/>
      <w:lvlText w:val="(%1)"/>
      <w:lvlJc w:val="left"/>
      <w:pPr>
        <w:tabs>
          <w:tab w:val="left" w:pos="840"/>
        </w:tabs>
        <w:ind w:left="1265" w:hanging="425"/>
      </w:pPr>
      <w:rPr>
        <w:rFonts w:hint="default"/>
      </w:rPr>
    </w:lvl>
  </w:abstractNum>
  <w:num w:numId="1">
    <w:abstractNumId w:val="2"/>
  </w:num>
  <w:num w:numId="2">
    <w:abstractNumId w:val="4"/>
  </w:num>
  <w:num w:numId="3">
    <w:abstractNumId w:val="16"/>
  </w:num>
  <w:num w:numId="4">
    <w:abstractNumId w:val="12"/>
  </w:num>
  <w:num w:numId="5">
    <w:abstractNumId w:val="15"/>
  </w:num>
  <w:num w:numId="6">
    <w:abstractNumId w:val="10"/>
  </w:num>
  <w:num w:numId="7">
    <w:abstractNumId w:val="5"/>
  </w:num>
  <w:num w:numId="8">
    <w:abstractNumId w:val="19"/>
  </w:num>
  <w:num w:numId="9">
    <w:abstractNumId w:val="9"/>
  </w:num>
  <w:num w:numId="10">
    <w:abstractNumId w:val="7"/>
  </w:num>
  <w:num w:numId="11">
    <w:abstractNumId w:val="14"/>
  </w:num>
  <w:num w:numId="12">
    <w:abstractNumId w:val="11"/>
  </w:num>
  <w:num w:numId="13">
    <w:abstractNumId w:val="18"/>
  </w:num>
  <w:num w:numId="14">
    <w:abstractNumId w:val="13"/>
  </w:num>
  <w:num w:numId="15">
    <w:abstractNumId w:val="6"/>
  </w:num>
  <w:num w:numId="16">
    <w:abstractNumId w:val="1"/>
  </w:num>
  <w:num w:numId="17">
    <w:abstractNumId w:val="3"/>
  </w:num>
  <w:num w:numId="18">
    <w:abstractNumId w:val="8"/>
  </w:num>
  <w:num w:numId="19">
    <w:abstractNumId w:val="1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wMzdlMDU1MTc1YzQ3NzExMmIxNTAyNDE2NzA4MjgifQ=="/>
    <w:docVar w:name="KSO_WPS_MARK_KEY" w:val="864084c6-a95b-414f-be7e-9d074afd204c"/>
  </w:docVars>
  <w:rsids>
    <w:rsidRoot w:val="00AA54CE"/>
    <w:rsid w:val="000015B1"/>
    <w:rsid w:val="000029F2"/>
    <w:rsid w:val="00002A20"/>
    <w:rsid w:val="00002F4E"/>
    <w:rsid w:val="00003CEB"/>
    <w:rsid w:val="00003DB3"/>
    <w:rsid w:val="0000720F"/>
    <w:rsid w:val="000103C3"/>
    <w:rsid w:val="000125E1"/>
    <w:rsid w:val="00013B67"/>
    <w:rsid w:val="000155B1"/>
    <w:rsid w:val="00015C38"/>
    <w:rsid w:val="0001673C"/>
    <w:rsid w:val="000203E6"/>
    <w:rsid w:val="00022834"/>
    <w:rsid w:val="00023A79"/>
    <w:rsid w:val="00023C4C"/>
    <w:rsid w:val="000263C6"/>
    <w:rsid w:val="00026C9E"/>
    <w:rsid w:val="00031C8F"/>
    <w:rsid w:val="000352C0"/>
    <w:rsid w:val="00037869"/>
    <w:rsid w:val="00040750"/>
    <w:rsid w:val="000430C1"/>
    <w:rsid w:val="000446AB"/>
    <w:rsid w:val="00044981"/>
    <w:rsid w:val="00044A7D"/>
    <w:rsid w:val="00045302"/>
    <w:rsid w:val="00050DEF"/>
    <w:rsid w:val="0005129F"/>
    <w:rsid w:val="00053EB0"/>
    <w:rsid w:val="00055A42"/>
    <w:rsid w:val="00055DFF"/>
    <w:rsid w:val="00057F17"/>
    <w:rsid w:val="000603EF"/>
    <w:rsid w:val="00060724"/>
    <w:rsid w:val="000634EA"/>
    <w:rsid w:val="0006689E"/>
    <w:rsid w:val="00066B3B"/>
    <w:rsid w:val="000678A0"/>
    <w:rsid w:val="00070CB2"/>
    <w:rsid w:val="0007165E"/>
    <w:rsid w:val="00071EE2"/>
    <w:rsid w:val="0007214B"/>
    <w:rsid w:val="00072284"/>
    <w:rsid w:val="000724EA"/>
    <w:rsid w:val="0008056D"/>
    <w:rsid w:val="00083EEF"/>
    <w:rsid w:val="00086B28"/>
    <w:rsid w:val="00090460"/>
    <w:rsid w:val="0009178E"/>
    <w:rsid w:val="000918A1"/>
    <w:rsid w:val="00092F55"/>
    <w:rsid w:val="0009661D"/>
    <w:rsid w:val="00096D39"/>
    <w:rsid w:val="000A140A"/>
    <w:rsid w:val="000A1E76"/>
    <w:rsid w:val="000A3461"/>
    <w:rsid w:val="000B0060"/>
    <w:rsid w:val="000B1259"/>
    <w:rsid w:val="000B1C3F"/>
    <w:rsid w:val="000B20D3"/>
    <w:rsid w:val="000B5D02"/>
    <w:rsid w:val="000C0545"/>
    <w:rsid w:val="000C51F3"/>
    <w:rsid w:val="000C6416"/>
    <w:rsid w:val="000C666E"/>
    <w:rsid w:val="000C70D1"/>
    <w:rsid w:val="000D224E"/>
    <w:rsid w:val="000D2E32"/>
    <w:rsid w:val="000E1F65"/>
    <w:rsid w:val="000E2EAD"/>
    <w:rsid w:val="000E3B08"/>
    <w:rsid w:val="000E3E6A"/>
    <w:rsid w:val="000E43F4"/>
    <w:rsid w:val="000E6902"/>
    <w:rsid w:val="000E7414"/>
    <w:rsid w:val="000F10D3"/>
    <w:rsid w:val="000F3412"/>
    <w:rsid w:val="000F601A"/>
    <w:rsid w:val="000F6217"/>
    <w:rsid w:val="001036DE"/>
    <w:rsid w:val="00105B85"/>
    <w:rsid w:val="0010600F"/>
    <w:rsid w:val="0010677F"/>
    <w:rsid w:val="001073E0"/>
    <w:rsid w:val="00110E1A"/>
    <w:rsid w:val="0011159D"/>
    <w:rsid w:val="001121D9"/>
    <w:rsid w:val="001140D1"/>
    <w:rsid w:val="0011471D"/>
    <w:rsid w:val="00115377"/>
    <w:rsid w:val="001172B0"/>
    <w:rsid w:val="00117E99"/>
    <w:rsid w:val="001201F3"/>
    <w:rsid w:val="00121224"/>
    <w:rsid w:val="00121F64"/>
    <w:rsid w:val="00124952"/>
    <w:rsid w:val="00127B96"/>
    <w:rsid w:val="001333DC"/>
    <w:rsid w:val="001336C1"/>
    <w:rsid w:val="001346E8"/>
    <w:rsid w:val="001352F3"/>
    <w:rsid w:val="0013547B"/>
    <w:rsid w:val="00135BA9"/>
    <w:rsid w:val="00137D9D"/>
    <w:rsid w:val="00140A64"/>
    <w:rsid w:val="00141C8E"/>
    <w:rsid w:val="00142D03"/>
    <w:rsid w:val="00151A9F"/>
    <w:rsid w:val="00152697"/>
    <w:rsid w:val="00152F68"/>
    <w:rsid w:val="00155185"/>
    <w:rsid w:val="0016015F"/>
    <w:rsid w:val="00160841"/>
    <w:rsid w:val="00161EEE"/>
    <w:rsid w:val="00162189"/>
    <w:rsid w:val="001621EA"/>
    <w:rsid w:val="00163A6D"/>
    <w:rsid w:val="0016518C"/>
    <w:rsid w:val="00170AE7"/>
    <w:rsid w:val="00171E1F"/>
    <w:rsid w:val="001723A0"/>
    <w:rsid w:val="00174BD5"/>
    <w:rsid w:val="00175E3E"/>
    <w:rsid w:val="0017689A"/>
    <w:rsid w:val="00182078"/>
    <w:rsid w:val="00183629"/>
    <w:rsid w:val="00185762"/>
    <w:rsid w:val="00190968"/>
    <w:rsid w:val="00190CEA"/>
    <w:rsid w:val="00191359"/>
    <w:rsid w:val="00193B08"/>
    <w:rsid w:val="00193D58"/>
    <w:rsid w:val="00194108"/>
    <w:rsid w:val="00196C69"/>
    <w:rsid w:val="001A120D"/>
    <w:rsid w:val="001A16A6"/>
    <w:rsid w:val="001A632F"/>
    <w:rsid w:val="001A7226"/>
    <w:rsid w:val="001B0F0B"/>
    <w:rsid w:val="001B19C2"/>
    <w:rsid w:val="001B3420"/>
    <w:rsid w:val="001B7314"/>
    <w:rsid w:val="001B7AF2"/>
    <w:rsid w:val="001B7E33"/>
    <w:rsid w:val="001C14A6"/>
    <w:rsid w:val="001C16C9"/>
    <w:rsid w:val="001C42B7"/>
    <w:rsid w:val="001D05BF"/>
    <w:rsid w:val="001D5C43"/>
    <w:rsid w:val="001D6104"/>
    <w:rsid w:val="001E0023"/>
    <w:rsid w:val="001E0026"/>
    <w:rsid w:val="001E2308"/>
    <w:rsid w:val="001E41A6"/>
    <w:rsid w:val="001E426F"/>
    <w:rsid w:val="001E52B2"/>
    <w:rsid w:val="001E56C7"/>
    <w:rsid w:val="001F0ADD"/>
    <w:rsid w:val="001F0D58"/>
    <w:rsid w:val="001F247E"/>
    <w:rsid w:val="001F2A43"/>
    <w:rsid w:val="001F3A4E"/>
    <w:rsid w:val="001F5141"/>
    <w:rsid w:val="00202902"/>
    <w:rsid w:val="002102AE"/>
    <w:rsid w:val="0021084D"/>
    <w:rsid w:val="0021112D"/>
    <w:rsid w:val="002114B4"/>
    <w:rsid w:val="002147A3"/>
    <w:rsid w:val="0021718C"/>
    <w:rsid w:val="00220831"/>
    <w:rsid w:val="002212F1"/>
    <w:rsid w:val="00221842"/>
    <w:rsid w:val="0022252B"/>
    <w:rsid w:val="00230930"/>
    <w:rsid w:val="00233B60"/>
    <w:rsid w:val="0023546C"/>
    <w:rsid w:val="00237C91"/>
    <w:rsid w:val="00237DD7"/>
    <w:rsid w:val="00237E5D"/>
    <w:rsid w:val="00240476"/>
    <w:rsid w:val="0024158E"/>
    <w:rsid w:val="00241FE6"/>
    <w:rsid w:val="002425C3"/>
    <w:rsid w:val="002426E8"/>
    <w:rsid w:val="00242727"/>
    <w:rsid w:val="00242F06"/>
    <w:rsid w:val="00246D75"/>
    <w:rsid w:val="002477DB"/>
    <w:rsid w:val="00250A1F"/>
    <w:rsid w:val="00250FCF"/>
    <w:rsid w:val="00252F20"/>
    <w:rsid w:val="002566DB"/>
    <w:rsid w:val="00257688"/>
    <w:rsid w:val="00257780"/>
    <w:rsid w:val="00263D6B"/>
    <w:rsid w:val="00266494"/>
    <w:rsid w:val="002668B0"/>
    <w:rsid w:val="00267599"/>
    <w:rsid w:val="00267E5D"/>
    <w:rsid w:val="0027008C"/>
    <w:rsid w:val="0027613F"/>
    <w:rsid w:val="00281B54"/>
    <w:rsid w:val="00283054"/>
    <w:rsid w:val="00283CC9"/>
    <w:rsid w:val="00286FCD"/>
    <w:rsid w:val="00290DA2"/>
    <w:rsid w:val="00296D97"/>
    <w:rsid w:val="002A4780"/>
    <w:rsid w:val="002B00A2"/>
    <w:rsid w:val="002B06A4"/>
    <w:rsid w:val="002B1CCA"/>
    <w:rsid w:val="002B27C0"/>
    <w:rsid w:val="002B34C5"/>
    <w:rsid w:val="002B4298"/>
    <w:rsid w:val="002B4D55"/>
    <w:rsid w:val="002B6797"/>
    <w:rsid w:val="002B7F94"/>
    <w:rsid w:val="002C2A8D"/>
    <w:rsid w:val="002C4ED1"/>
    <w:rsid w:val="002C6453"/>
    <w:rsid w:val="002C6CBA"/>
    <w:rsid w:val="002D0FCC"/>
    <w:rsid w:val="002D2CDD"/>
    <w:rsid w:val="002D3FAD"/>
    <w:rsid w:val="002D4410"/>
    <w:rsid w:val="002D764D"/>
    <w:rsid w:val="002E4A1C"/>
    <w:rsid w:val="002E4C8C"/>
    <w:rsid w:val="002E4EDD"/>
    <w:rsid w:val="002E5BAA"/>
    <w:rsid w:val="002E6379"/>
    <w:rsid w:val="002E6FBA"/>
    <w:rsid w:val="002F00BD"/>
    <w:rsid w:val="002F0C66"/>
    <w:rsid w:val="002F1BF8"/>
    <w:rsid w:val="002F24D2"/>
    <w:rsid w:val="002F275D"/>
    <w:rsid w:val="002F28C5"/>
    <w:rsid w:val="00301761"/>
    <w:rsid w:val="00301B69"/>
    <w:rsid w:val="00303029"/>
    <w:rsid w:val="003041B2"/>
    <w:rsid w:val="00304BA3"/>
    <w:rsid w:val="00305FD0"/>
    <w:rsid w:val="0030762C"/>
    <w:rsid w:val="003108EE"/>
    <w:rsid w:val="00311BB8"/>
    <w:rsid w:val="003125CB"/>
    <w:rsid w:val="00315D80"/>
    <w:rsid w:val="003164B6"/>
    <w:rsid w:val="0032052F"/>
    <w:rsid w:val="003238DB"/>
    <w:rsid w:val="00324FF3"/>
    <w:rsid w:val="00325742"/>
    <w:rsid w:val="003273ED"/>
    <w:rsid w:val="00331C5C"/>
    <w:rsid w:val="00332C99"/>
    <w:rsid w:val="00334FB3"/>
    <w:rsid w:val="003365A2"/>
    <w:rsid w:val="00336ABA"/>
    <w:rsid w:val="00336C75"/>
    <w:rsid w:val="00337D86"/>
    <w:rsid w:val="00341E07"/>
    <w:rsid w:val="003428D5"/>
    <w:rsid w:val="00346EA7"/>
    <w:rsid w:val="003500A6"/>
    <w:rsid w:val="00350C22"/>
    <w:rsid w:val="0035105C"/>
    <w:rsid w:val="003516FF"/>
    <w:rsid w:val="0035311E"/>
    <w:rsid w:val="0035448C"/>
    <w:rsid w:val="003544B2"/>
    <w:rsid w:val="00354BED"/>
    <w:rsid w:val="00357744"/>
    <w:rsid w:val="00361E5E"/>
    <w:rsid w:val="003636BC"/>
    <w:rsid w:val="00364250"/>
    <w:rsid w:val="00364EEF"/>
    <w:rsid w:val="003661AF"/>
    <w:rsid w:val="0036769D"/>
    <w:rsid w:val="00371354"/>
    <w:rsid w:val="00377D4F"/>
    <w:rsid w:val="00383688"/>
    <w:rsid w:val="00383974"/>
    <w:rsid w:val="00385CD5"/>
    <w:rsid w:val="00385E22"/>
    <w:rsid w:val="00391231"/>
    <w:rsid w:val="00392D05"/>
    <w:rsid w:val="00395B28"/>
    <w:rsid w:val="003A16FC"/>
    <w:rsid w:val="003A2917"/>
    <w:rsid w:val="003A4FF0"/>
    <w:rsid w:val="003A74B5"/>
    <w:rsid w:val="003B185A"/>
    <w:rsid w:val="003B21E1"/>
    <w:rsid w:val="003B2678"/>
    <w:rsid w:val="003B2995"/>
    <w:rsid w:val="003B4062"/>
    <w:rsid w:val="003B4BF1"/>
    <w:rsid w:val="003B5278"/>
    <w:rsid w:val="003B67C3"/>
    <w:rsid w:val="003B7995"/>
    <w:rsid w:val="003C223C"/>
    <w:rsid w:val="003C3AB1"/>
    <w:rsid w:val="003C3CB7"/>
    <w:rsid w:val="003C58F4"/>
    <w:rsid w:val="003C68EE"/>
    <w:rsid w:val="003D1637"/>
    <w:rsid w:val="003D26C7"/>
    <w:rsid w:val="003E210B"/>
    <w:rsid w:val="003E2249"/>
    <w:rsid w:val="003E2AD2"/>
    <w:rsid w:val="003E34A2"/>
    <w:rsid w:val="003E386D"/>
    <w:rsid w:val="003E4682"/>
    <w:rsid w:val="003E485C"/>
    <w:rsid w:val="003E6DAC"/>
    <w:rsid w:val="003F1202"/>
    <w:rsid w:val="003F3622"/>
    <w:rsid w:val="003F364D"/>
    <w:rsid w:val="003F3A25"/>
    <w:rsid w:val="003F44B7"/>
    <w:rsid w:val="003F5A1B"/>
    <w:rsid w:val="003F6396"/>
    <w:rsid w:val="00400053"/>
    <w:rsid w:val="004006C0"/>
    <w:rsid w:val="00400D32"/>
    <w:rsid w:val="004017B7"/>
    <w:rsid w:val="00406766"/>
    <w:rsid w:val="00407BBF"/>
    <w:rsid w:val="004115DB"/>
    <w:rsid w:val="004152CB"/>
    <w:rsid w:val="00417139"/>
    <w:rsid w:val="00417282"/>
    <w:rsid w:val="004204D5"/>
    <w:rsid w:val="0042151A"/>
    <w:rsid w:val="00422EC8"/>
    <w:rsid w:val="00426915"/>
    <w:rsid w:val="00426D29"/>
    <w:rsid w:val="0043390D"/>
    <w:rsid w:val="00434F3C"/>
    <w:rsid w:val="00435FA3"/>
    <w:rsid w:val="00436E9E"/>
    <w:rsid w:val="00441752"/>
    <w:rsid w:val="004417EB"/>
    <w:rsid w:val="00441DE7"/>
    <w:rsid w:val="00442E9E"/>
    <w:rsid w:val="004430E9"/>
    <w:rsid w:val="00443FAB"/>
    <w:rsid w:val="00444638"/>
    <w:rsid w:val="00445930"/>
    <w:rsid w:val="00452F11"/>
    <w:rsid w:val="00453EE0"/>
    <w:rsid w:val="00456262"/>
    <w:rsid w:val="004563CD"/>
    <w:rsid w:val="00456454"/>
    <w:rsid w:val="00457E27"/>
    <w:rsid w:val="0046029F"/>
    <w:rsid w:val="00464E27"/>
    <w:rsid w:val="00470854"/>
    <w:rsid w:val="00475695"/>
    <w:rsid w:val="00477662"/>
    <w:rsid w:val="004805C7"/>
    <w:rsid w:val="00482DC5"/>
    <w:rsid w:val="0048689A"/>
    <w:rsid w:val="00487608"/>
    <w:rsid w:val="00490014"/>
    <w:rsid w:val="004901EC"/>
    <w:rsid w:val="00490AF8"/>
    <w:rsid w:val="00491388"/>
    <w:rsid w:val="00493D5F"/>
    <w:rsid w:val="004952A3"/>
    <w:rsid w:val="004956AC"/>
    <w:rsid w:val="004957F8"/>
    <w:rsid w:val="0049587E"/>
    <w:rsid w:val="00496355"/>
    <w:rsid w:val="004A0996"/>
    <w:rsid w:val="004A1D26"/>
    <w:rsid w:val="004A3BCA"/>
    <w:rsid w:val="004A3F5B"/>
    <w:rsid w:val="004A7105"/>
    <w:rsid w:val="004B26F4"/>
    <w:rsid w:val="004B2A65"/>
    <w:rsid w:val="004B3130"/>
    <w:rsid w:val="004B4920"/>
    <w:rsid w:val="004B6B09"/>
    <w:rsid w:val="004B6EC5"/>
    <w:rsid w:val="004B7448"/>
    <w:rsid w:val="004B7C8B"/>
    <w:rsid w:val="004C0B20"/>
    <w:rsid w:val="004C10B7"/>
    <w:rsid w:val="004C157E"/>
    <w:rsid w:val="004C4B3A"/>
    <w:rsid w:val="004C675F"/>
    <w:rsid w:val="004D0C91"/>
    <w:rsid w:val="004D2B1A"/>
    <w:rsid w:val="004D7756"/>
    <w:rsid w:val="004E103A"/>
    <w:rsid w:val="004E32ED"/>
    <w:rsid w:val="004E511F"/>
    <w:rsid w:val="004E6F8A"/>
    <w:rsid w:val="004F3DC3"/>
    <w:rsid w:val="004F3E3A"/>
    <w:rsid w:val="004F494D"/>
    <w:rsid w:val="004F4FA7"/>
    <w:rsid w:val="004F6F57"/>
    <w:rsid w:val="004F7D2B"/>
    <w:rsid w:val="005030A3"/>
    <w:rsid w:val="0050349B"/>
    <w:rsid w:val="005042B3"/>
    <w:rsid w:val="00504D39"/>
    <w:rsid w:val="00506984"/>
    <w:rsid w:val="00506BA9"/>
    <w:rsid w:val="00510C42"/>
    <w:rsid w:val="005118D2"/>
    <w:rsid w:val="00515618"/>
    <w:rsid w:val="00515B95"/>
    <w:rsid w:val="005172A0"/>
    <w:rsid w:val="00517DD9"/>
    <w:rsid w:val="00521A9A"/>
    <w:rsid w:val="00525F6C"/>
    <w:rsid w:val="005261E7"/>
    <w:rsid w:val="00526689"/>
    <w:rsid w:val="00526C60"/>
    <w:rsid w:val="00527E9F"/>
    <w:rsid w:val="005320A2"/>
    <w:rsid w:val="00534FE0"/>
    <w:rsid w:val="005379B4"/>
    <w:rsid w:val="00541206"/>
    <w:rsid w:val="00547180"/>
    <w:rsid w:val="00547693"/>
    <w:rsid w:val="005519B9"/>
    <w:rsid w:val="00551C42"/>
    <w:rsid w:val="00554FBD"/>
    <w:rsid w:val="00556487"/>
    <w:rsid w:val="00560A9E"/>
    <w:rsid w:val="00572033"/>
    <w:rsid w:val="00574712"/>
    <w:rsid w:val="00575126"/>
    <w:rsid w:val="00576E9A"/>
    <w:rsid w:val="00577324"/>
    <w:rsid w:val="00580752"/>
    <w:rsid w:val="00580792"/>
    <w:rsid w:val="00582305"/>
    <w:rsid w:val="00582391"/>
    <w:rsid w:val="00583B23"/>
    <w:rsid w:val="00585445"/>
    <w:rsid w:val="00585EB4"/>
    <w:rsid w:val="005867EC"/>
    <w:rsid w:val="00587AAF"/>
    <w:rsid w:val="00590E6C"/>
    <w:rsid w:val="0059367C"/>
    <w:rsid w:val="005944A5"/>
    <w:rsid w:val="00594837"/>
    <w:rsid w:val="00596383"/>
    <w:rsid w:val="0059757E"/>
    <w:rsid w:val="005A0953"/>
    <w:rsid w:val="005A202B"/>
    <w:rsid w:val="005A3BCD"/>
    <w:rsid w:val="005A3E02"/>
    <w:rsid w:val="005A4852"/>
    <w:rsid w:val="005A4890"/>
    <w:rsid w:val="005A5B45"/>
    <w:rsid w:val="005A66F6"/>
    <w:rsid w:val="005A6D0C"/>
    <w:rsid w:val="005A73EF"/>
    <w:rsid w:val="005B048A"/>
    <w:rsid w:val="005B0F93"/>
    <w:rsid w:val="005B1079"/>
    <w:rsid w:val="005B1850"/>
    <w:rsid w:val="005B3439"/>
    <w:rsid w:val="005B3A1D"/>
    <w:rsid w:val="005B6023"/>
    <w:rsid w:val="005C4BD7"/>
    <w:rsid w:val="005C4E24"/>
    <w:rsid w:val="005C5604"/>
    <w:rsid w:val="005C6CF3"/>
    <w:rsid w:val="005D09CE"/>
    <w:rsid w:val="005D0B2C"/>
    <w:rsid w:val="005D3840"/>
    <w:rsid w:val="005E0B4C"/>
    <w:rsid w:val="005E15EA"/>
    <w:rsid w:val="005E2ADE"/>
    <w:rsid w:val="005E6525"/>
    <w:rsid w:val="005F099B"/>
    <w:rsid w:val="005F2C37"/>
    <w:rsid w:val="005F3D6B"/>
    <w:rsid w:val="005F5E34"/>
    <w:rsid w:val="00600A46"/>
    <w:rsid w:val="006016C2"/>
    <w:rsid w:val="006028D5"/>
    <w:rsid w:val="00604374"/>
    <w:rsid w:val="00610A0A"/>
    <w:rsid w:val="00612DE7"/>
    <w:rsid w:val="0061381F"/>
    <w:rsid w:val="00613EA3"/>
    <w:rsid w:val="0061611B"/>
    <w:rsid w:val="0061633E"/>
    <w:rsid w:val="0061678C"/>
    <w:rsid w:val="00621B9E"/>
    <w:rsid w:val="00622793"/>
    <w:rsid w:val="00622AD1"/>
    <w:rsid w:val="0062483A"/>
    <w:rsid w:val="00625C8E"/>
    <w:rsid w:val="00630766"/>
    <w:rsid w:val="0063116F"/>
    <w:rsid w:val="00632CCF"/>
    <w:rsid w:val="006344E2"/>
    <w:rsid w:val="00636AC1"/>
    <w:rsid w:val="00636C6B"/>
    <w:rsid w:val="006370DA"/>
    <w:rsid w:val="00640492"/>
    <w:rsid w:val="006452B8"/>
    <w:rsid w:val="00645B1D"/>
    <w:rsid w:val="006460F8"/>
    <w:rsid w:val="00650BE0"/>
    <w:rsid w:val="006526F1"/>
    <w:rsid w:val="00654734"/>
    <w:rsid w:val="00656F93"/>
    <w:rsid w:val="00657387"/>
    <w:rsid w:val="006602FC"/>
    <w:rsid w:val="00660662"/>
    <w:rsid w:val="00661031"/>
    <w:rsid w:val="00664F52"/>
    <w:rsid w:val="00665484"/>
    <w:rsid w:val="0066548B"/>
    <w:rsid w:val="0066666B"/>
    <w:rsid w:val="0066698A"/>
    <w:rsid w:val="0067048E"/>
    <w:rsid w:val="00671728"/>
    <w:rsid w:val="00671913"/>
    <w:rsid w:val="00674505"/>
    <w:rsid w:val="006754D4"/>
    <w:rsid w:val="00675E62"/>
    <w:rsid w:val="006767E5"/>
    <w:rsid w:val="00676A84"/>
    <w:rsid w:val="00681063"/>
    <w:rsid w:val="00681C36"/>
    <w:rsid w:val="00683E5C"/>
    <w:rsid w:val="00690B4C"/>
    <w:rsid w:val="006910B6"/>
    <w:rsid w:val="006920B0"/>
    <w:rsid w:val="006943FB"/>
    <w:rsid w:val="00697030"/>
    <w:rsid w:val="00697717"/>
    <w:rsid w:val="006A1CCE"/>
    <w:rsid w:val="006A280E"/>
    <w:rsid w:val="006A36E7"/>
    <w:rsid w:val="006A3AAD"/>
    <w:rsid w:val="006A5138"/>
    <w:rsid w:val="006A5AD2"/>
    <w:rsid w:val="006A5DF1"/>
    <w:rsid w:val="006A6FE5"/>
    <w:rsid w:val="006A7F7A"/>
    <w:rsid w:val="006B0667"/>
    <w:rsid w:val="006B0E59"/>
    <w:rsid w:val="006B1125"/>
    <w:rsid w:val="006B112C"/>
    <w:rsid w:val="006B46C1"/>
    <w:rsid w:val="006B65FC"/>
    <w:rsid w:val="006B6B61"/>
    <w:rsid w:val="006B7768"/>
    <w:rsid w:val="006C0D1C"/>
    <w:rsid w:val="006C15E4"/>
    <w:rsid w:val="006C45EB"/>
    <w:rsid w:val="006C4736"/>
    <w:rsid w:val="006C4788"/>
    <w:rsid w:val="006D26D8"/>
    <w:rsid w:val="006D38DA"/>
    <w:rsid w:val="006D61AF"/>
    <w:rsid w:val="006D7950"/>
    <w:rsid w:val="006E0713"/>
    <w:rsid w:val="006E2AF2"/>
    <w:rsid w:val="006E3409"/>
    <w:rsid w:val="006E3DDA"/>
    <w:rsid w:val="006E6B0C"/>
    <w:rsid w:val="006E7270"/>
    <w:rsid w:val="006F3FF9"/>
    <w:rsid w:val="006F57D8"/>
    <w:rsid w:val="006F5A9F"/>
    <w:rsid w:val="006F72FD"/>
    <w:rsid w:val="00700B4B"/>
    <w:rsid w:val="00701473"/>
    <w:rsid w:val="0070661F"/>
    <w:rsid w:val="00706B0B"/>
    <w:rsid w:val="007077A2"/>
    <w:rsid w:val="00707D9E"/>
    <w:rsid w:val="00711017"/>
    <w:rsid w:val="00714646"/>
    <w:rsid w:val="0071538E"/>
    <w:rsid w:val="00717619"/>
    <w:rsid w:val="00721ABA"/>
    <w:rsid w:val="00722DE4"/>
    <w:rsid w:val="0072465A"/>
    <w:rsid w:val="00725414"/>
    <w:rsid w:val="00727703"/>
    <w:rsid w:val="00733F15"/>
    <w:rsid w:val="00736A40"/>
    <w:rsid w:val="00744535"/>
    <w:rsid w:val="00744591"/>
    <w:rsid w:val="007450FB"/>
    <w:rsid w:val="0074540E"/>
    <w:rsid w:val="00746DCE"/>
    <w:rsid w:val="00747BF8"/>
    <w:rsid w:val="00747EDD"/>
    <w:rsid w:val="00750C31"/>
    <w:rsid w:val="007516CB"/>
    <w:rsid w:val="00751D64"/>
    <w:rsid w:val="00751E2C"/>
    <w:rsid w:val="00755A0E"/>
    <w:rsid w:val="0075611C"/>
    <w:rsid w:val="00756BAD"/>
    <w:rsid w:val="00760F7D"/>
    <w:rsid w:val="00766C9E"/>
    <w:rsid w:val="007716DB"/>
    <w:rsid w:val="00775766"/>
    <w:rsid w:val="00776E29"/>
    <w:rsid w:val="00782A9E"/>
    <w:rsid w:val="00785338"/>
    <w:rsid w:val="00785C94"/>
    <w:rsid w:val="007869A4"/>
    <w:rsid w:val="00787A6E"/>
    <w:rsid w:val="00790CD6"/>
    <w:rsid w:val="00790EFD"/>
    <w:rsid w:val="00792BD6"/>
    <w:rsid w:val="0079490D"/>
    <w:rsid w:val="0079656C"/>
    <w:rsid w:val="007A3264"/>
    <w:rsid w:val="007A6D46"/>
    <w:rsid w:val="007B0031"/>
    <w:rsid w:val="007B72E8"/>
    <w:rsid w:val="007C2601"/>
    <w:rsid w:val="007C2BA0"/>
    <w:rsid w:val="007C2E91"/>
    <w:rsid w:val="007C4A5C"/>
    <w:rsid w:val="007C74BB"/>
    <w:rsid w:val="007C75D0"/>
    <w:rsid w:val="007D1B74"/>
    <w:rsid w:val="007D499B"/>
    <w:rsid w:val="007D5803"/>
    <w:rsid w:val="007E15F7"/>
    <w:rsid w:val="007E23D6"/>
    <w:rsid w:val="007E26BB"/>
    <w:rsid w:val="007E30A3"/>
    <w:rsid w:val="007F0BEB"/>
    <w:rsid w:val="007F756D"/>
    <w:rsid w:val="008023DE"/>
    <w:rsid w:val="008031D5"/>
    <w:rsid w:val="00805B3B"/>
    <w:rsid w:val="00806E0A"/>
    <w:rsid w:val="00810FFF"/>
    <w:rsid w:val="00812F6B"/>
    <w:rsid w:val="00813BF0"/>
    <w:rsid w:val="008143C3"/>
    <w:rsid w:val="0081521D"/>
    <w:rsid w:val="00816A05"/>
    <w:rsid w:val="00816FFB"/>
    <w:rsid w:val="008175EB"/>
    <w:rsid w:val="0082155A"/>
    <w:rsid w:val="00821618"/>
    <w:rsid w:val="00822693"/>
    <w:rsid w:val="00824BD6"/>
    <w:rsid w:val="00824D95"/>
    <w:rsid w:val="00827DA5"/>
    <w:rsid w:val="008329F5"/>
    <w:rsid w:val="00832E1A"/>
    <w:rsid w:val="00835D16"/>
    <w:rsid w:val="0084092B"/>
    <w:rsid w:val="00841572"/>
    <w:rsid w:val="00842877"/>
    <w:rsid w:val="00843EE9"/>
    <w:rsid w:val="00844243"/>
    <w:rsid w:val="008454DC"/>
    <w:rsid w:val="008455EC"/>
    <w:rsid w:val="00850693"/>
    <w:rsid w:val="008530A8"/>
    <w:rsid w:val="008541D0"/>
    <w:rsid w:val="0085464F"/>
    <w:rsid w:val="008547D5"/>
    <w:rsid w:val="008552B5"/>
    <w:rsid w:val="00855769"/>
    <w:rsid w:val="00860B5A"/>
    <w:rsid w:val="0086235E"/>
    <w:rsid w:val="00863113"/>
    <w:rsid w:val="00865AAA"/>
    <w:rsid w:val="0086614C"/>
    <w:rsid w:val="00870AD4"/>
    <w:rsid w:val="00871802"/>
    <w:rsid w:val="00872225"/>
    <w:rsid w:val="00874B1D"/>
    <w:rsid w:val="0088178F"/>
    <w:rsid w:val="00882EC8"/>
    <w:rsid w:val="00886AF3"/>
    <w:rsid w:val="00886D68"/>
    <w:rsid w:val="00887A11"/>
    <w:rsid w:val="0089040B"/>
    <w:rsid w:val="00891C14"/>
    <w:rsid w:val="0089221E"/>
    <w:rsid w:val="008954DE"/>
    <w:rsid w:val="00897FFD"/>
    <w:rsid w:val="008A45EE"/>
    <w:rsid w:val="008A5A78"/>
    <w:rsid w:val="008B1273"/>
    <w:rsid w:val="008B2198"/>
    <w:rsid w:val="008B2744"/>
    <w:rsid w:val="008B3C6C"/>
    <w:rsid w:val="008B6491"/>
    <w:rsid w:val="008B73F8"/>
    <w:rsid w:val="008C7BE4"/>
    <w:rsid w:val="008D21BB"/>
    <w:rsid w:val="008D21F8"/>
    <w:rsid w:val="008D304C"/>
    <w:rsid w:val="008D34B7"/>
    <w:rsid w:val="008D436D"/>
    <w:rsid w:val="008D67DC"/>
    <w:rsid w:val="008E1815"/>
    <w:rsid w:val="008E2F5A"/>
    <w:rsid w:val="008E32EE"/>
    <w:rsid w:val="008E3B63"/>
    <w:rsid w:val="008E55BC"/>
    <w:rsid w:val="008E6D03"/>
    <w:rsid w:val="008E7179"/>
    <w:rsid w:val="008F094C"/>
    <w:rsid w:val="008F255A"/>
    <w:rsid w:val="008F2B5D"/>
    <w:rsid w:val="008F548F"/>
    <w:rsid w:val="008F5FDA"/>
    <w:rsid w:val="008F7F5A"/>
    <w:rsid w:val="009026D7"/>
    <w:rsid w:val="00904AEA"/>
    <w:rsid w:val="00904D68"/>
    <w:rsid w:val="00905448"/>
    <w:rsid w:val="0090601F"/>
    <w:rsid w:val="009123A0"/>
    <w:rsid w:val="00912AEA"/>
    <w:rsid w:val="00912D40"/>
    <w:rsid w:val="0091414E"/>
    <w:rsid w:val="00914B1E"/>
    <w:rsid w:val="00915593"/>
    <w:rsid w:val="009157C7"/>
    <w:rsid w:val="00921492"/>
    <w:rsid w:val="00931790"/>
    <w:rsid w:val="00932D2B"/>
    <w:rsid w:val="009375CD"/>
    <w:rsid w:val="00940037"/>
    <w:rsid w:val="00943333"/>
    <w:rsid w:val="00945657"/>
    <w:rsid w:val="00946518"/>
    <w:rsid w:val="00952222"/>
    <w:rsid w:val="009576A7"/>
    <w:rsid w:val="009602C1"/>
    <w:rsid w:val="00961653"/>
    <w:rsid w:val="0096576B"/>
    <w:rsid w:val="00966601"/>
    <w:rsid w:val="0096733A"/>
    <w:rsid w:val="00971EA0"/>
    <w:rsid w:val="0097433D"/>
    <w:rsid w:val="009745F7"/>
    <w:rsid w:val="00975A0A"/>
    <w:rsid w:val="00980E74"/>
    <w:rsid w:val="00981191"/>
    <w:rsid w:val="0098327C"/>
    <w:rsid w:val="009837ED"/>
    <w:rsid w:val="0098605B"/>
    <w:rsid w:val="009877CA"/>
    <w:rsid w:val="00992AAE"/>
    <w:rsid w:val="0099610C"/>
    <w:rsid w:val="009A0015"/>
    <w:rsid w:val="009A29A4"/>
    <w:rsid w:val="009A2AB9"/>
    <w:rsid w:val="009A2FEF"/>
    <w:rsid w:val="009A395C"/>
    <w:rsid w:val="009A6009"/>
    <w:rsid w:val="009B1682"/>
    <w:rsid w:val="009B2CF5"/>
    <w:rsid w:val="009B36F4"/>
    <w:rsid w:val="009B5FC5"/>
    <w:rsid w:val="009B7AA7"/>
    <w:rsid w:val="009C18AC"/>
    <w:rsid w:val="009C2D8F"/>
    <w:rsid w:val="009C4B58"/>
    <w:rsid w:val="009C5213"/>
    <w:rsid w:val="009C52DA"/>
    <w:rsid w:val="009C5964"/>
    <w:rsid w:val="009C5B1E"/>
    <w:rsid w:val="009C6A84"/>
    <w:rsid w:val="009D162B"/>
    <w:rsid w:val="009D2944"/>
    <w:rsid w:val="009D3D58"/>
    <w:rsid w:val="009D5D31"/>
    <w:rsid w:val="009D6198"/>
    <w:rsid w:val="009D6B94"/>
    <w:rsid w:val="009D7775"/>
    <w:rsid w:val="009E4B97"/>
    <w:rsid w:val="009F0E74"/>
    <w:rsid w:val="009F1C81"/>
    <w:rsid w:val="009F1E28"/>
    <w:rsid w:val="009F315C"/>
    <w:rsid w:val="009F3499"/>
    <w:rsid w:val="009F6F7E"/>
    <w:rsid w:val="00A01495"/>
    <w:rsid w:val="00A0189A"/>
    <w:rsid w:val="00A01D02"/>
    <w:rsid w:val="00A0734C"/>
    <w:rsid w:val="00A11EEF"/>
    <w:rsid w:val="00A125BD"/>
    <w:rsid w:val="00A1360B"/>
    <w:rsid w:val="00A1407A"/>
    <w:rsid w:val="00A14594"/>
    <w:rsid w:val="00A15453"/>
    <w:rsid w:val="00A1692A"/>
    <w:rsid w:val="00A17388"/>
    <w:rsid w:val="00A2019F"/>
    <w:rsid w:val="00A2569D"/>
    <w:rsid w:val="00A2640E"/>
    <w:rsid w:val="00A276DE"/>
    <w:rsid w:val="00A30DB6"/>
    <w:rsid w:val="00A30E63"/>
    <w:rsid w:val="00A362B6"/>
    <w:rsid w:val="00A36D70"/>
    <w:rsid w:val="00A4094A"/>
    <w:rsid w:val="00A45145"/>
    <w:rsid w:val="00A453C4"/>
    <w:rsid w:val="00A465C7"/>
    <w:rsid w:val="00A465E0"/>
    <w:rsid w:val="00A468A4"/>
    <w:rsid w:val="00A546F7"/>
    <w:rsid w:val="00A55B9A"/>
    <w:rsid w:val="00A565A4"/>
    <w:rsid w:val="00A572CA"/>
    <w:rsid w:val="00A61A0E"/>
    <w:rsid w:val="00A61B22"/>
    <w:rsid w:val="00A64156"/>
    <w:rsid w:val="00A66EA0"/>
    <w:rsid w:val="00A6705F"/>
    <w:rsid w:val="00A71272"/>
    <w:rsid w:val="00A7305D"/>
    <w:rsid w:val="00A764E7"/>
    <w:rsid w:val="00A76959"/>
    <w:rsid w:val="00A77931"/>
    <w:rsid w:val="00A807B4"/>
    <w:rsid w:val="00A81ECD"/>
    <w:rsid w:val="00A841FC"/>
    <w:rsid w:val="00A8424C"/>
    <w:rsid w:val="00A8564F"/>
    <w:rsid w:val="00A85D52"/>
    <w:rsid w:val="00A86D62"/>
    <w:rsid w:val="00A873E4"/>
    <w:rsid w:val="00A9450F"/>
    <w:rsid w:val="00A94712"/>
    <w:rsid w:val="00A96D0D"/>
    <w:rsid w:val="00A970C0"/>
    <w:rsid w:val="00AA0D56"/>
    <w:rsid w:val="00AA0E09"/>
    <w:rsid w:val="00AA3CFE"/>
    <w:rsid w:val="00AA54CE"/>
    <w:rsid w:val="00AB11DE"/>
    <w:rsid w:val="00AB1BF4"/>
    <w:rsid w:val="00AB295D"/>
    <w:rsid w:val="00AB2F1E"/>
    <w:rsid w:val="00AB5021"/>
    <w:rsid w:val="00AB5136"/>
    <w:rsid w:val="00AC0E61"/>
    <w:rsid w:val="00AC24F7"/>
    <w:rsid w:val="00AC49D7"/>
    <w:rsid w:val="00AC564A"/>
    <w:rsid w:val="00AC7D28"/>
    <w:rsid w:val="00AD2281"/>
    <w:rsid w:val="00AD24E9"/>
    <w:rsid w:val="00AE0312"/>
    <w:rsid w:val="00AE0F01"/>
    <w:rsid w:val="00AE2B95"/>
    <w:rsid w:val="00AE4405"/>
    <w:rsid w:val="00AF01C9"/>
    <w:rsid w:val="00AF171F"/>
    <w:rsid w:val="00AF2B43"/>
    <w:rsid w:val="00AF5A32"/>
    <w:rsid w:val="00AF5C41"/>
    <w:rsid w:val="00AF6348"/>
    <w:rsid w:val="00AF6F81"/>
    <w:rsid w:val="00B02FEA"/>
    <w:rsid w:val="00B04261"/>
    <w:rsid w:val="00B107AF"/>
    <w:rsid w:val="00B1092E"/>
    <w:rsid w:val="00B10AC4"/>
    <w:rsid w:val="00B1118E"/>
    <w:rsid w:val="00B1467B"/>
    <w:rsid w:val="00B14C48"/>
    <w:rsid w:val="00B1542A"/>
    <w:rsid w:val="00B16C20"/>
    <w:rsid w:val="00B20D87"/>
    <w:rsid w:val="00B211F5"/>
    <w:rsid w:val="00B2248E"/>
    <w:rsid w:val="00B2378D"/>
    <w:rsid w:val="00B257C8"/>
    <w:rsid w:val="00B258C7"/>
    <w:rsid w:val="00B25B59"/>
    <w:rsid w:val="00B25DE0"/>
    <w:rsid w:val="00B316BD"/>
    <w:rsid w:val="00B33DC8"/>
    <w:rsid w:val="00B34A55"/>
    <w:rsid w:val="00B35DF6"/>
    <w:rsid w:val="00B367D1"/>
    <w:rsid w:val="00B3713F"/>
    <w:rsid w:val="00B43CF4"/>
    <w:rsid w:val="00B453B7"/>
    <w:rsid w:val="00B457AC"/>
    <w:rsid w:val="00B475BC"/>
    <w:rsid w:val="00B51DE2"/>
    <w:rsid w:val="00B53BC1"/>
    <w:rsid w:val="00B55065"/>
    <w:rsid w:val="00B5527F"/>
    <w:rsid w:val="00B56023"/>
    <w:rsid w:val="00B5658B"/>
    <w:rsid w:val="00B56F4C"/>
    <w:rsid w:val="00B571E9"/>
    <w:rsid w:val="00B62028"/>
    <w:rsid w:val="00B62C2D"/>
    <w:rsid w:val="00B67F4D"/>
    <w:rsid w:val="00B70BED"/>
    <w:rsid w:val="00B70F17"/>
    <w:rsid w:val="00B72701"/>
    <w:rsid w:val="00B73DA3"/>
    <w:rsid w:val="00B764CC"/>
    <w:rsid w:val="00B80C53"/>
    <w:rsid w:val="00B82775"/>
    <w:rsid w:val="00B82E84"/>
    <w:rsid w:val="00B831AE"/>
    <w:rsid w:val="00B85E24"/>
    <w:rsid w:val="00B85EE9"/>
    <w:rsid w:val="00B868D9"/>
    <w:rsid w:val="00B9042B"/>
    <w:rsid w:val="00B91F76"/>
    <w:rsid w:val="00B92824"/>
    <w:rsid w:val="00B93887"/>
    <w:rsid w:val="00B94122"/>
    <w:rsid w:val="00B95FE9"/>
    <w:rsid w:val="00B975F1"/>
    <w:rsid w:val="00B9776D"/>
    <w:rsid w:val="00B97B4C"/>
    <w:rsid w:val="00BA050A"/>
    <w:rsid w:val="00BA072E"/>
    <w:rsid w:val="00BA0FD4"/>
    <w:rsid w:val="00BA14C9"/>
    <w:rsid w:val="00BA2CB7"/>
    <w:rsid w:val="00BA3573"/>
    <w:rsid w:val="00BA4FB6"/>
    <w:rsid w:val="00BA5839"/>
    <w:rsid w:val="00BA5FFA"/>
    <w:rsid w:val="00BA793F"/>
    <w:rsid w:val="00BB04EF"/>
    <w:rsid w:val="00BB0AED"/>
    <w:rsid w:val="00BB23B4"/>
    <w:rsid w:val="00BB2C6B"/>
    <w:rsid w:val="00BB43B5"/>
    <w:rsid w:val="00BB590F"/>
    <w:rsid w:val="00BC6594"/>
    <w:rsid w:val="00BC7EB5"/>
    <w:rsid w:val="00BD2807"/>
    <w:rsid w:val="00BD2809"/>
    <w:rsid w:val="00BD2A2A"/>
    <w:rsid w:val="00BD3468"/>
    <w:rsid w:val="00BD36C7"/>
    <w:rsid w:val="00BD3E20"/>
    <w:rsid w:val="00BD3E28"/>
    <w:rsid w:val="00BD524E"/>
    <w:rsid w:val="00BE345F"/>
    <w:rsid w:val="00BE39F3"/>
    <w:rsid w:val="00BE42E4"/>
    <w:rsid w:val="00BE7B30"/>
    <w:rsid w:val="00BF1F1C"/>
    <w:rsid w:val="00BF70B7"/>
    <w:rsid w:val="00C008F7"/>
    <w:rsid w:val="00C03893"/>
    <w:rsid w:val="00C1046C"/>
    <w:rsid w:val="00C129BA"/>
    <w:rsid w:val="00C148CC"/>
    <w:rsid w:val="00C15B12"/>
    <w:rsid w:val="00C24ED5"/>
    <w:rsid w:val="00C2678D"/>
    <w:rsid w:val="00C33FA8"/>
    <w:rsid w:val="00C34C38"/>
    <w:rsid w:val="00C35DB1"/>
    <w:rsid w:val="00C3618C"/>
    <w:rsid w:val="00C36C92"/>
    <w:rsid w:val="00C37AD1"/>
    <w:rsid w:val="00C413CF"/>
    <w:rsid w:val="00C4222A"/>
    <w:rsid w:val="00C430DF"/>
    <w:rsid w:val="00C440D6"/>
    <w:rsid w:val="00C44570"/>
    <w:rsid w:val="00C45871"/>
    <w:rsid w:val="00C47F21"/>
    <w:rsid w:val="00C53F36"/>
    <w:rsid w:val="00C56B6D"/>
    <w:rsid w:val="00C56C78"/>
    <w:rsid w:val="00C56E4E"/>
    <w:rsid w:val="00C576C7"/>
    <w:rsid w:val="00C60BB7"/>
    <w:rsid w:val="00C61A88"/>
    <w:rsid w:val="00C63366"/>
    <w:rsid w:val="00C634D3"/>
    <w:rsid w:val="00C63EBD"/>
    <w:rsid w:val="00C64533"/>
    <w:rsid w:val="00C65134"/>
    <w:rsid w:val="00C6788D"/>
    <w:rsid w:val="00C71B71"/>
    <w:rsid w:val="00C73778"/>
    <w:rsid w:val="00C73C6A"/>
    <w:rsid w:val="00C747F9"/>
    <w:rsid w:val="00C75946"/>
    <w:rsid w:val="00C76B6D"/>
    <w:rsid w:val="00C80C0F"/>
    <w:rsid w:val="00C811D1"/>
    <w:rsid w:val="00C82D64"/>
    <w:rsid w:val="00C91119"/>
    <w:rsid w:val="00C92447"/>
    <w:rsid w:val="00C930E2"/>
    <w:rsid w:val="00C94FF0"/>
    <w:rsid w:val="00CA507C"/>
    <w:rsid w:val="00CA7036"/>
    <w:rsid w:val="00CB068D"/>
    <w:rsid w:val="00CB1FDF"/>
    <w:rsid w:val="00CB2EE5"/>
    <w:rsid w:val="00CB4415"/>
    <w:rsid w:val="00CB4BA0"/>
    <w:rsid w:val="00CB4DBC"/>
    <w:rsid w:val="00CB5D8A"/>
    <w:rsid w:val="00CB5F1D"/>
    <w:rsid w:val="00CB6882"/>
    <w:rsid w:val="00CB75C3"/>
    <w:rsid w:val="00CB776C"/>
    <w:rsid w:val="00CB7BA9"/>
    <w:rsid w:val="00CC23C5"/>
    <w:rsid w:val="00CC3841"/>
    <w:rsid w:val="00CC6005"/>
    <w:rsid w:val="00CD0C33"/>
    <w:rsid w:val="00CD1603"/>
    <w:rsid w:val="00CD2A30"/>
    <w:rsid w:val="00CD5CD6"/>
    <w:rsid w:val="00CD681E"/>
    <w:rsid w:val="00CD71C2"/>
    <w:rsid w:val="00CD7978"/>
    <w:rsid w:val="00CE057E"/>
    <w:rsid w:val="00CE1F6B"/>
    <w:rsid w:val="00CE26EC"/>
    <w:rsid w:val="00CE36DE"/>
    <w:rsid w:val="00CE4879"/>
    <w:rsid w:val="00CE6E11"/>
    <w:rsid w:val="00CF0249"/>
    <w:rsid w:val="00CF13DB"/>
    <w:rsid w:val="00CF228A"/>
    <w:rsid w:val="00CF5C50"/>
    <w:rsid w:val="00CF7208"/>
    <w:rsid w:val="00D01923"/>
    <w:rsid w:val="00D03E8B"/>
    <w:rsid w:val="00D10413"/>
    <w:rsid w:val="00D12D17"/>
    <w:rsid w:val="00D15EE6"/>
    <w:rsid w:val="00D16978"/>
    <w:rsid w:val="00D17C46"/>
    <w:rsid w:val="00D20684"/>
    <w:rsid w:val="00D21ABC"/>
    <w:rsid w:val="00D22025"/>
    <w:rsid w:val="00D22F8F"/>
    <w:rsid w:val="00D24532"/>
    <w:rsid w:val="00D2624F"/>
    <w:rsid w:val="00D3076F"/>
    <w:rsid w:val="00D30DA6"/>
    <w:rsid w:val="00D42DB9"/>
    <w:rsid w:val="00D442AB"/>
    <w:rsid w:val="00D47A7E"/>
    <w:rsid w:val="00D5054C"/>
    <w:rsid w:val="00D53DB1"/>
    <w:rsid w:val="00D54A3E"/>
    <w:rsid w:val="00D60DE0"/>
    <w:rsid w:val="00D614DB"/>
    <w:rsid w:val="00D61A27"/>
    <w:rsid w:val="00D62DC9"/>
    <w:rsid w:val="00D62F06"/>
    <w:rsid w:val="00D73C16"/>
    <w:rsid w:val="00D745EB"/>
    <w:rsid w:val="00D7581D"/>
    <w:rsid w:val="00D76D8E"/>
    <w:rsid w:val="00D81748"/>
    <w:rsid w:val="00D860BC"/>
    <w:rsid w:val="00D862FA"/>
    <w:rsid w:val="00D87470"/>
    <w:rsid w:val="00D90E4C"/>
    <w:rsid w:val="00D948E4"/>
    <w:rsid w:val="00D951E8"/>
    <w:rsid w:val="00D969BB"/>
    <w:rsid w:val="00D97B29"/>
    <w:rsid w:val="00DA02BA"/>
    <w:rsid w:val="00DA26B6"/>
    <w:rsid w:val="00DA4E0A"/>
    <w:rsid w:val="00DB0D1D"/>
    <w:rsid w:val="00DB143B"/>
    <w:rsid w:val="00DB42F4"/>
    <w:rsid w:val="00DB61E3"/>
    <w:rsid w:val="00DB6D6F"/>
    <w:rsid w:val="00DC2172"/>
    <w:rsid w:val="00DC5452"/>
    <w:rsid w:val="00DC6897"/>
    <w:rsid w:val="00DD23F2"/>
    <w:rsid w:val="00DD3BE6"/>
    <w:rsid w:val="00DD3CA9"/>
    <w:rsid w:val="00DD40E7"/>
    <w:rsid w:val="00DD42D0"/>
    <w:rsid w:val="00DD4AF1"/>
    <w:rsid w:val="00DD6DB2"/>
    <w:rsid w:val="00DE0EB5"/>
    <w:rsid w:val="00DE1E76"/>
    <w:rsid w:val="00DE3368"/>
    <w:rsid w:val="00DE4CA5"/>
    <w:rsid w:val="00DE4E42"/>
    <w:rsid w:val="00DE61FE"/>
    <w:rsid w:val="00DE64A4"/>
    <w:rsid w:val="00DF004B"/>
    <w:rsid w:val="00DF0A71"/>
    <w:rsid w:val="00DF5344"/>
    <w:rsid w:val="00DF61DE"/>
    <w:rsid w:val="00DF746E"/>
    <w:rsid w:val="00E0006A"/>
    <w:rsid w:val="00E00EE1"/>
    <w:rsid w:val="00E03832"/>
    <w:rsid w:val="00E03C54"/>
    <w:rsid w:val="00E06C53"/>
    <w:rsid w:val="00E06F0D"/>
    <w:rsid w:val="00E07959"/>
    <w:rsid w:val="00E1113B"/>
    <w:rsid w:val="00E11B79"/>
    <w:rsid w:val="00E127B8"/>
    <w:rsid w:val="00E14722"/>
    <w:rsid w:val="00E150F3"/>
    <w:rsid w:val="00E23751"/>
    <w:rsid w:val="00E246B0"/>
    <w:rsid w:val="00E2539D"/>
    <w:rsid w:val="00E25AC4"/>
    <w:rsid w:val="00E30C85"/>
    <w:rsid w:val="00E31C39"/>
    <w:rsid w:val="00E32158"/>
    <w:rsid w:val="00E33CCD"/>
    <w:rsid w:val="00E3603A"/>
    <w:rsid w:val="00E37E31"/>
    <w:rsid w:val="00E430A1"/>
    <w:rsid w:val="00E478BD"/>
    <w:rsid w:val="00E5060B"/>
    <w:rsid w:val="00E50D87"/>
    <w:rsid w:val="00E543C2"/>
    <w:rsid w:val="00E55AFB"/>
    <w:rsid w:val="00E55B35"/>
    <w:rsid w:val="00E55F27"/>
    <w:rsid w:val="00E56702"/>
    <w:rsid w:val="00E5738A"/>
    <w:rsid w:val="00E57BAD"/>
    <w:rsid w:val="00E60336"/>
    <w:rsid w:val="00E606E4"/>
    <w:rsid w:val="00E621E4"/>
    <w:rsid w:val="00E66F59"/>
    <w:rsid w:val="00E711A6"/>
    <w:rsid w:val="00E7171C"/>
    <w:rsid w:val="00E73ED1"/>
    <w:rsid w:val="00E740A9"/>
    <w:rsid w:val="00E75C3F"/>
    <w:rsid w:val="00E75F1A"/>
    <w:rsid w:val="00E7625D"/>
    <w:rsid w:val="00E807BA"/>
    <w:rsid w:val="00E80F25"/>
    <w:rsid w:val="00E82CEE"/>
    <w:rsid w:val="00E84343"/>
    <w:rsid w:val="00E851E3"/>
    <w:rsid w:val="00E86369"/>
    <w:rsid w:val="00E86EFF"/>
    <w:rsid w:val="00E876AC"/>
    <w:rsid w:val="00E90137"/>
    <w:rsid w:val="00E95465"/>
    <w:rsid w:val="00E959D0"/>
    <w:rsid w:val="00E95EFA"/>
    <w:rsid w:val="00E96C7C"/>
    <w:rsid w:val="00E97F23"/>
    <w:rsid w:val="00EA4A0B"/>
    <w:rsid w:val="00EA4A99"/>
    <w:rsid w:val="00EA60DC"/>
    <w:rsid w:val="00EA6162"/>
    <w:rsid w:val="00EB0B77"/>
    <w:rsid w:val="00EB49CF"/>
    <w:rsid w:val="00EB6ABB"/>
    <w:rsid w:val="00EC19E0"/>
    <w:rsid w:val="00EC7909"/>
    <w:rsid w:val="00EC7EF1"/>
    <w:rsid w:val="00ED0C4F"/>
    <w:rsid w:val="00ED7411"/>
    <w:rsid w:val="00EE048F"/>
    <w:rsid w:val="00EE712A"/>
    <w:rsid w:val="00EF2A2C"/>
    <w:rsid w:val="00EF2FC8"/>
    <w:rsid w:val="00EF43DF"/>
    <w:rsid w:val="00EF49DE"/>
    <w:rsid w:val="00EF565B"/>
    <w:rsid w:val="00EF56FA"/>
    <w:rsid w:val="00EF6986"/>
    <w:rsid w:val="00EF76A1"/>
    <w:rsid w:val="00F0064B"/>
    <w:rsid w:val="00F0302F"/>
    <w:rsid w:val="00F07987"/>
    <w:rsid w:val="00F11C78"/>
    <w:rsid w:val="00F134E2"/>
    <w:rsid w:val="00F1427F"/>
    <w:rsid w:val="00F14712"/>
    <w:rsid w:val="00F147BD"/>
    <w:rsid w:val="00F15CB2"/>
    <w:rsid w:val="00F17B70"/>
    <w:rsid w:val="00F20123"/>
    <w:rsid w:val="00F245B9"/>
    <w:rsid w:val="00F3056F"/>
    <w:rsid w:val="00F31513"/>
    <w:rsid w:val="00F3154F"/>
    <w:rsid w:val="00F3425C"/>
    <w:rsid w:val="00F3743A"/>
    <w:rsid w:val="00F377C6"/>
    <w:rsid w:val="00F37A83"/>
    <w:rsid w:val="00F40F2B"/>
    <w:rsid w:val="00F4246B"/>
    <w:rsid w:val="00F448C0"/>
    <w:rsid w:val="00F468C6"/>
    <w:rsid w:val="00F468D2"/>
    <w:rsid w:val="00F507FC"/>
    <w:rsid w:val="00F511CE"/>
    <w:rsid w:val="00F52F5E"/>
    <w:rsid w:val="00F54F05"/>
    <w:rsid w:val="00F60D96"/>
    <w:rsid w:val="00F63D03"/>
    <w:rsid w:val="00F6430A"/>
    <w:rsid w:val="00F6438F"/>
    <w:rsid w:val="00F64E27"/>
    <w:rsid w:val="00F67572"/>
    <w:rsid w:val="00F712B5"/>
    <w:rsid w:val="00F74B52"/>
    <w:rsid w:val="00F74B67"/>
    <w:rsid w:val="00F75390"/>
    <w:rsid w:val="00F76BD9"/>
    <w:rsid w:val="00F7707A"/>
    <w:rsid w:val="00F80EE8"/>
    <w:rsid w:val="00F817A7"/>
    <w:rsid w:val="00F829CF"/>
    <w:rsid w:val="00F9086E"/>
    <w:rsid w:val="00F91CC4"/>
    <w:rsid w:val="00F9550F"/>
    <w:rsid w:val="00F97D86"/>
    <w:rsid w:val="00FA27B2"/>
    <w:rsid w:val="00FA2CA7"/>
    <w:rsid w:val="00FA47AB"/>
    <w:rsid w:val="00FB2A0D"/>
    <w:rsid w:val="00FB2D04"/>
    <w:rsid w:val="00FB4EC9"/>
    <w:rsid w:val="00FB546E"/>
    <w:rsid w:val="00FB6BE6"/>
    <w:rsid w:val="00FC1346"/>
    <w:rsid w:val="00FC1F17"/>
    <w:rsid w:val="00FC33CE"/>
    <w:rsid w:val="00FC3582"/>
    <w:rsid w:val="00FC36D9"/>
    <w:rsid w:val="00FC5462"/>
    <w:rsid w:val="00FD0547"/>
    <w:rsid w:val="00FD121D"/>
    <w:rsid w:val="00FD1CC3"/>
    <w:rsid w:val="00FD1F1E"/>
    <w:rsid w:val="00FD7138"/>
    <w:rsid w:val="00FD770B"/>
    <w:rsid w:val="00FD7B44"/>
    <w:rsid w:val="00FD7D31"/>
    <w:rsid w:val="00FE4FC3"/>
    <w:rsid w:val="00FE57A2"/>
    <w:rsid w:val="00FE62CF"/>
    <w:rsid w:val="00FE73FE"/>
    <w:rsid w:val="00FE7F3D"/>
    <w:rsid w:val="00FF32ED"/>
    <w:rsid w:val="00FF502C"/>
    <w:rsid w:val="00FF5A28"/>
    <w:rsid w:val="00FF5B4F"/>
    <w:rsid w:val="00FF6187"/>
    <w:rsid w:val="00FF6DB6"/>
    <w:rsid w:val="00FF76F5"/>
    <w:rsid w:val="00FF7AD7"/>
    <w:rsid w:val="00FF7B7B"/>
    <w:rsid w:val="012B2F75"/>
    <w:rsid w:val="013C09B4"/>
    <w:rsid w:val="01656F24"/>
    <w:rsid w:val="019A1594"/>
    <w:rsid w:val="01C90C4A"/>
    <w:rsid w:val="01F33470"/>
    <w:rsid w:val="01F863FC"/>
    <w:rsid w:val="02215985"/>
    <w:rsid w:val="022962B0"/>
    <w:rsid w:val="023D7796"/>
    <w:rsid w:val="02850C64"/>
    <w:rsid w:val="028E26C7"/>
    <w:rsid w:val="02D96E17"/>
    <w:rsid w:val="030233D9"/>
    <w:rsid w:val="033A7662"/>
    <w:rsid w:val="03607E96"/>
    <w:rsid w:val="036E5B3E"/>
    <w:rsid w:val="03D270B5"/>
    <w:rsid w:val="03F61A72"/>
    <w:rsid w:val="03F84D6E"/>
    <w:rsid w:val="041720E0"/>
    <w:rsid w:val="044F7FBF"/>
    <w:rsid w:val="046A3DDB"/>
    <w:rsid w:val="04926F01"/>
    <w:rsid w:val="04986C9D"/>
    <w:rsid w:val="049B0375"/>
    <w:rsid w:val="04B925F8"/>
    <w:rsid w:val="04BB20DB"/>
    <w:rsid w:val="04D17C39"/>
    <w:rsid w:val="05322C2F"/>
    <w:rsid w:val="053E48EB"/>
    <w:rsid w:val="05E5378E"/>
    <w:rsid w:val="060E37AA"/>
    <w:rsid w:val="06465461"/>
    <w:rsid w:val="065A5923"/>
    <w:rsid w:val="06D70BD7"/>
    <w:rsid w:val="06DE45FF"/>
    <w:rsid w:val="07143072"/>
    <w:rsid w:val="07400219"/>
    <w:rsid w:val="07501428"/>
    <w:rsid w:val="0764271A"/>
    <w:rsid w:val="0770679F"/>
    <w:rsid w:val="07B14AA4"/>
    <w:rsid w:val="07EC6DCD"/>
    <w:rsid w:val="07F95346"/>
    <w:rsid w:val="07FB3B48"/>
    <w:rsid w:val="083F783D"/>
    <w:rsid w:val="08765542"/>
    <w:rsid w:val="08A113FE"/>
    <w:rsid w:val="08E12F9E"/>
    <w:rsid w:val="090D6A7D"/>
    <w:rsid w:val="096A3E13"/>
    <w:rsid w:val="09F1229F"/>
    <w:rsid w:val="0A26710D"/>
    <w:rsid w:val="0A341367"/>
    <w:rsid w:val="0A3D7005"/>
    <w:rsid w:val="0A805B7E"/>
    <w:rsid w:val="0A861E7A"/>
    <w:rsid w:val="0B1969F7"/>
    <w:rsid w:val="0B1B07ED"/>
    <w:rsid w:val="0B57681E"/>
    <w:rsid w:val="0B6E3E0F"/>
    <w:rsid w:val="0B8B75F2"/>
    <w:rsid w:val="0BC929F4"/>
    <w:rsid w:val="0BE87CEE"/>
    <w:rsid w:val="0BF6462C"/>
    <w:rsid w:val="0C170962"/>
    <w:rsid w:val="0C1D44F5"/>
    <w:rsid w:val="0C7620CF"/>
    <w:rsid w:val="0CA37105"/>
    <w:rsid w:val="0D35493D"/>
    <w:rsid w:val="0D63265E"/>
    <w:rsid w:val="0D736BE7"/>
    <w:rsid w:val="0D8B4C55"/>
    <w:rsid w:val="0DD43FF0"/>
    <w:rsid w:val="0DE76366"/>
    <w:rsid w:val="0E1C0117"/>
    <w:rsid w:val="0E1D7F43"/>
    <w:rsid w:val="0E2A4679"/>
    <w:rsid w:val="0E4A51B6"/>
    <w:rsid w:val="0E5D5AD1"/>
    <w:rsid w:val="0EF600FC"/>
    <w:rsid w:val="0F1113DA"/>
    <w:rsid w:val="0F316517"/>
    <w:rsid w:val="0F6825AE"/>
    <w:rsid w:val="0FA55A59"/>
    <w:rsid w:val="100A7F5B"/>
    <w:rsid w:val="106738A4"/>
    <w:rsid w:val="107B27BD"/>
    <w:rsid w:val="107C3B75"/>
    <w:rsid w:val="107F3FA2"/>
    <w:rsid w:val="10837911"/>
    <w:rsid w:val="10BC0E1D"/>
    <w:rsid w:val="10F34432"/>
    <w:rsid w:val="10F52B46"/>
    <w:rsid w:val="11160608"/>
    <w:rsid w:val="1181167F"/>
    <w:rsid w:val="118C12E7"/>
    <w:rsid w:val="118C3798"/>
    <w:rsid w:val="118E5F95"/>
    <w:rsid w:val="11B1259E"/>
    <w:rsid w:val="1202325C"/>
    <w:rsid w:val="1219785E"/>
    <w:rsid w:val="12226D6D"/>
    <w:rsid w:val="124302B5"/>
    <w:rsid w:val="12545BAE"/>
    <w:rsid w:val="12F5413C"/>
    <w:rsid w:val="12F66E6C"/>
    <w:rsid w:val="131107A6"/>
    <w:rsid w:val="131C1BCB"/>
    <w:rsid w:val="13566AB3"/>
    <w:rsid w:val="136020EE"/>
    <w:rsid w:val="139B3AAC"/>
    <w:rsid w:val="13CF1D2C"/>
    <w:rsid w:val="13D428C4"/>
    <w:rsid w:val="13FE252F"/>
    <w:rsid w:val="146C42DF"/>
    <w:rsid w:val="148C3D75"/>
    <w:rsid w:val="14BD6CB0"/>
    <w:rsid w:val="14E3723D"/>
    <w:rsid w:val="15105263"/>
    <w:rsid w:val="15225B49"/>
    <w:rsid w:val="15310F01"/>
    <w:rsid w:val="153E337E"/>
    <w:rsid w:val="16386AB0"/>
    <w:rsid w:val="163B1A76"/>
    <w:rsid w:val="167F2107"/>
    <w:rsid w:val="16842491"/>
    <w:rsid w:val="16940BAF"/>
    <w:rsid w:val="16C5279C"/>
    <w:rsid w:val="17194EAD"/>
    <w:rsid w:val="17210EA8"/>
    <w:rsid w:val="17303C76"/>
    <w:rsid w:val="17383951"/>
    <w:rsid w:val="174B6C8A"/>
    <w:rsid w:val="17795761"/>
    <w:rsid w:val="17AC3DF0"/>
    <w:rsid w:val="17B60D70"/>
    <w:rsid w:val="17B80619"/>
    <w:rsid w:val="17BD3615"/>
    <w:rsid w:val="17D04F38"/>
    <w:rsid w:val="17EA16A1"/>
    <w:rsid w:val="17F432CD"/>
    <w:rsid w:val="180D06ED"/>
    <w:rsid w:val="186B7294"/>
    <w:rsid w:val="187F166C"/>
    <w:rsid w:val="18A81DA2"/>
    <w:rsid w:val="18E3339A"/>
    <w:rsid w:val="18FA0730"/>
    <w:rsid w:val="195A5A66"/>
    <w:rsid w:val="19A37650"/>
    <w:rsid w:val="19B412DF"/>
    <w:rsid w:val="19C05CDF"/>
    <w:rsid w:val="19C1757B"/>
    <w:rsid w:val="19D87E48"/>
    <w:rsid w:val="1A16764D"/>
    <w:rsid w:val="1A99651C"/>
    <w:rsid w:val="1AED1401"/>
    <w:rsid w:val="1AFC57DB"/>
    <w:rsid w:val="1BE0460E"/>
    <w:rsid w:val="1C265C92"/>
    <w:rsid w:val="1C45364B"/>
    <w:rsid w:val="1C5727E7"/>
    <w:rsid w:val="1C5C795A"/>
    <w:rsid w:val="1CE356A9"/>
    <w:rsid w:val="1D282323"/>
    <w:rsid w:val="1D44622C"/>
    <w:rsid w:val="1D653D84"/>
    <w:rsid w:val="1D885188"/>
    <w:rsid w:val="1D9E2029"/>
    <w:rsid w:val="1DF279B4"/>
    <w:rsid w:val="1E4B5802"/>
    <w:rsid w:val="1E7B305D"/>
    <w:rsid w:val="1E8D7AD7"/>
    <w:rsid w:val="1ECC71B1"/>
    <w:rsid w:val="1EE1349B"/>
    <w:rsid w:val="1EF70EBC"/>
    <w:rsid w:val="1EF73293"/>
    <w:rsid w:val="1F221FC2"/>
    <w:rsid w:val="1F274F5A"/>
    <w:rsid w:val="1F482DE5"/>
    <w:rsid w:val="1F521091"/>
    <w:rsid w:val="1F546186"/>
    <w:rsid w:val="1F595B6B"/>
    <w:rsid w:val="1F6B6B27"/>
    <w:rsid w:val="1F9319B3"/>
    <w:rsid w:val="1FCD30FB"/>
    <w:rsid w:val="20757949"/>
    <w:rsid w:val="20862711"/>
    <w:rsid w:val="209439DE"/>
    <w:rsid w:val="20B44D9E"/>
    <w:rsid w:val="20C71CE9"/>
    <w:rsid w:val="20CD63E6"/>
    <w:rsid w:val="21061AE7"/>
    <w:rsid w:val="21161DC5"/>
    <w:rsid w:val="21597E10"/>
    <w:rsid w:val="215E1BCB"/>
    <w:rsid w:val="21820D8B"/>
    <w:rsid w:val="21BB5357"/>
    <w:rsid w:val="21CE730C"/>
    <w:rsid w:val="21F1250F"/>
    <w:rsid w:val="21F74DA9"/>
    <w:rsid w:val="220527FD"/>
    <w:rsid w:val="2211244F"/>
    <w:rsid w:val="22123E79"/>
    <w:rsid w:val="2214007A"/>
    <w:rsid w:val="22491A77"/>
    <w:rsid w:val="225A3ED9"/>
    <w:rsid w:val="225E5953"/>
    <w:rsid w:val="22F259F1"/>
    <w:rsid w:val="23621DAC"/>
    <w:rsid w:val="238445A4"/>
    <w:rsid w:val="23D45BF3"/>
    <w:rsid w:val="23D609B6"/>
    <w:rsid w:val="23FA301E"/>
    <w:rsid w:val="245C7F95"/>
    <w:rsid w:val="24727D09"/>
    <w:rsid w:val="2476229D"/>
    <w:rsid w:val="24830555"/>
    <w:rsid w:val="24C640DD"/>
    <w:rsid w:val="24D555E7"/>
    <w:rsid w:val="24F90905"/>
    <w:rsid w:val="250A1958"/>
    <w:rsid w:val="25245F91"/>
    <w:rsid w:val="25405712"/>
    <w:rsid w:val="254A3258"/>
    <w:rsid w:val="25753B6A"/>
    <w:rsid w:val="25A641D2"/>
    <w:rsid w:val="25BA7DF4"/>
    <w:rsid w:val="25E410CE"/>
    <w:rsid w:val="25EB0814"/>
    <w:rsid w:val="25F7163A"/>
    <w:rsid w:val="26030BE4"/>
    <w:rsid w:val="266613DF"/>
    <w:rsid w:val="268D3A24"/>
    <w:rsid w:val="26B02B31"/>
    <w:rsid w:val="26BC6432"/>
    <w:rsid w:val="26C12755"/>
    <w:rsid w:val="26F05EFD"/>
    <w:rsid w:val="26F176CF"/>
    <w:rsid w:val="27B210AF"/>
    <w:rsid w:val="27C653AD"/>
    <w:rsid w:val="27DE47E6"/>
    <w:rsid w:val="27FE6826"/>
    <w:rsid w:val="281771FE"/>
    <w:rsid w:val="287F6F0B"/>
    <w:rsid w:val="288655D8"/>
    <w:rsid w:val="28B13905"/>
    <w:rsid w:val="28D22E0B"/>
    <w:rsid w:val="28E37C83"/>
    <w:rsid w:val="292204E8"/>
    <w:rsid w:val="29306DBA"/>
    <w:rsid w:val="29310680"/>
    <w:rsid w:val="295C5CF2"/>
    <w:rsid w:val="29947266"/>
    <w:rsid w:val="29B047EE"/>
    <w:rsid w:val="29B87636"/>
    <w:rsid w:val="29E0715E"/>
    <w:rsid w:val="29FE2001"/>
    <w:rsid w:val="2A2543E7"/>
    <w:rsid w:val="2A754B36"/>
    <w:rsid w:val="2A813031"/>
    <w:rsid w:val="2A855979"/>
    <w:rsid w:val="2AA646BC"/>
    <w:rsid w:val="2B247222"/>
    <w:rsid w:val="2B4D1252"/>
    <w:rsid w:val="2BA6719E"/>
    <w:rsid w:val="2BAD49EB"/>
    <w:rsid w:val="2BE945FC"/>
    <w:rsid w:val="2BEF0A25"/>
    <w:rsid w:val="2BFA4B3B"/>
    <w:rsid w:val="2C4769F3"/>
    <w:rsid w:val="2C9B7E41"/>
    <w:rsid w:val="2CE64684"/>
    <w:rsid w:val="2CEF38CF"/>
    <w:rsid w:val="2CFE5306"/>
    <w:rsid w:val="2D665813"/>
    <w:rsid w:val="2D7C3E5B"/>
    <w:rsid w:val="2DB75A3C"/>
    <w:rsid w:val="2DD474CB"/>
    <w:rsid w:val="2E06749A"/>
    <w:rsid w:val="2E0731B7"/>
    <w:rsid w:val="2E7E5611"/>
    <w:rsid w:val="2E8B7E90"/>
    <w:rsid w:val="2E9D7DC4"/>
    <w:rsid w:val="2EB86019"/>
    <w:rsid w:val="2EBD258D"/>
    <w:rsid w:val="2EE95656"/>
    <w:rsid w:val="2F045B51"/>
    <w:rsid w:val="2F354433"/>
    <w:rsid w:val="2F63356A"/>
    <w:rsid w:val="2F864A2B"/>
    <w:rsid w:val="2F9D7AE1"/>
    <w:rsid w:val="2FD4296E"/>
    <w:rsid w:val="2FDC1300"/>
    <w:rsid w:val="2FE77813"/>
    <w:rsid w:val="2FFF1822"/>
    <w:rsid w:val="30670A02"/>
    <w:rsid w:val="309D526D"/>
    <w:rsid w:val="30AB4FE0"/>
    <w:rsid w:val="30B039A0"/>
    <w:rsid w:val="311A3CC6"/>
    <w:rsid w:val="313A4BF4"/>
    <w:rsid w:val="31AD5DB1"/>
    <w:rsid w:val="32063AB3"/>
    <w:rsid w:val="32425283"/>
    <w:rsid w:val="32487012"/>
    <w:rsid w:val="32786D65"/>
    <w:rsid w:val="32854CB7"/>
    <w:rsid w:val="32D229B4"/>
    <w:rsid w:val="32D76828"/>
    <w:rsid w:val="32D90296"/>
    <w:rsid w:val="32E77BEA"/>
    <w:rsid w:val="33107295"/>
    <w:rsid w:val="332D0B55"/>
    <w:rsid w:val="333F6C37"/>
    <w:rsid w:val="334C2E79"/>
    <w:rsid w:val="339D05D5"/>
    <w:rsid w:val="33B70ED4"/>
    <w:rsid w:val="33D25C33"/>
    <w:rsid w:val="3438483D"/>
    <w:rsid w:val="34867E1B"/>
    <w:rsid w:val="3487066E"/>
    <w:rsid w:val="34982040"/>
    <w:rsid w:val="34C267E3"/>
    <w:rsid w:val="34CC177B"/>
    <w:rsid w:val="34DD5737"/>
    <w:rsid w:val="35241E5E"/>
    <w:rsid w:val="352D18C5"/>
    <w:rsid w:val="3535269B"/>
    <w:rsid w:val="35394A00"/>
    <w:rsid w:val="356C6E7E"/>
    <w:rsid w:val="356F5124"/>
    <w:rsid w:val="35A1483D"/>
    <w:rsid w:val="35BA36CD"/>
    <w:rsid w:val="35D54B2F"/>
    <w:rsid w:val="35E64B3E"/>
    <w:rsid w:val="36374761"/>
    <w:rsid w:val="364D6199"/>
    <w:rsid w:val="364F295F"/>
    <w:rsid w:val="3661254D"/>
    <w:rsid w:val="3678368B"/>
    <w:rsid w:val="36C27258"/>
    <w:rsid w:val="36DA7901"/>
    <w:rsid w:val="36E37CAA"/>
    <w:rsid w:val="371328BA"/>
    <w:rsid w:val="37355A01"/>
    <w:rsid w:val="376109B6"/>
    <w:rsid w:val="378171E2"/>
    <w:rsid w:val="37DB28F8"/>
    <w:rsid w:val="37F70021"/>
    <w:rsid w:val="380506E3"/>
    <w:rsid w:val="382E41AF"/>
    <w:rsid w:val="38451629"/>
    <w:rsid w:val="38496499"/>
    <w:rsid w:val="3878035D"/>
    <w:rsid w:val="38833EDF"/>
    <w:rsid w:val="39027E92"/>
    <w:rsid w:val="390A0A90"/>
    <w:rsid w:val="390C498C"/>
    <w:rsid w:val="39130728"/>
    <w:rsid w:val="391C1D28"/>
    <w:rsid w:val="393048AB"/>
    <w:rsid w:val="39493B13"/>
    <w:rsid w:val="397E68FE"/>
    <w:rsid w:val="39A14595"/>
    <w:rsid w:val="39ED0932"/>
    <w:rsid w:val="39ED339B"/>
    <w:rsid w:val="3A292DA0"/>
    <w:rsid w:val="3A2D139D"/>
    <w:rsid w:val="3A2D2830"/>
    <w:rsid w:val="3A96547D"/>
    <w:rsid w:val="3A9C0648"/>
    <w:rsid w:val="3AE04FC9"/>
    <w:rsid w:val="3AED005D"/>
    <w:rsid w:val="3AF632F5"/>
    <w:rsid w:val="3B2A61EB"/>
    <w:rsid w:val="3B37435C"/>
    <w:rsid w:val="3B3E796D"/>
    <w:rsid w:val="3B434AA0"/>
    <w:rsid w:val="3B691DFF"/>
    <w:rsid w:val="3B7E3082"/>
    <w:rsid w:val="3B7F4030"/>
    <w:rsid w:val="3B961E09"/>
    <w:rsid w:val="3B98128C"/>
    <w:rsid w:val="3B997D5E"/>
    <w:rsid w:val="3BBD4D3D"/>
    <w:rsid w:val="3BC9502C"/>
    <w:rsid w:val="3C222A5F"/>
    <w:rsid w:val="3C3F2B63"/>
    <w:rsid w:val="3C503419"/>
    <w:rsid w:val="3C5366EB"/>
    <w:rsid w:val="3CC137D9"/>
    <w:rsid w:val="3CD472C4"/>
    <w:rsid w:val="3CF165CE"/>
    <w:rsid w:val="3D033C54"/>
    <w:rsid w:val="3D0706E0"/>
    <w:rsid w:val="3D0B5459"/>
    <w:rsid w:val="3D187DE7"/>
    <w:rsid w:val="3D630FBF"/>
    <w:rsid w:val="3E5006D8"/>
    <w:rsid w:val="3E6952D0"/>
    <w:rsid w:val="3EDC64A0"/>
    <w:rsid w:val="3EE145D1"/>
    <w:rsid w:val="3EF1596A"/>
    <w:rsid w:val="3EFB73C4"/>
    <w:rsid w:val="3F801255"/>
    <w:rsid w:val="3F86126B"/>
    <w:rsid w:val="3F9D5E04"/>
    <w:rsid w:val="3FD53F6F"/>
    <w:rsid w:val="3FF971CD"/>
    <w:rsid w:val="40002C39"/>
    <w:rsid w:val="400047F8"/>
    <w:rsid w:val="404F314F"/>
    <w:rsid w:val="40627EA0"/>
    <w:rsid w:val="407C5E04"/>
    <w:rsid w:val="409471CE"/>
    <w:rsid w:val="409F56FB"/>
    <w:rsid w:val="419A0C2B"/>
    <w:rsid w:val="41C704C5"/>
    <w:rsid w:val="41F212BF"/>
    <w:rsid w:val="41F724F8"/>
    <w:rsid w:val="42107830"/>
    <w:rsid w:val="424F7F1A"/>
    <w:rsid w:val="429327F4"/>
    <w:rsid w:val="42981012"/>
    <w:rsid w:val="42A2632D"/>
    <w:rsid w:val="42AE52C7"/>
    <w:rsid w:val="42BF1CEA"/>
    <w:rsid w:val="42E5616C"/>
    <w:rsid w:val="42F245C7"/>
    <w:rsid w:val="43453DDE"/>
    <w:rsid w:val="437A7046"/>
    <w:rsid w:val="437F2CCD"/>
    <w:rsid w:val="438927A9"/>
    <w:rsid w:val="43B8113A"/>
    <w:rsid w:val="43BE25A5"/>
    <w:rsid w:val="43D234C2"/>
    <w:rsid w:val="43E179BE"/>
    <w:rsid w:val="44091087"/>
    <w:rsid w:val="44120E71"/>
    <w:rsid w:val="442C60E8"/>
    <w:rsid w:val="445C4143"/>
    <w:rsid w:val="44880C4A"/>
    <w:rsid w:val="4489318D"/>
    <w:rsid w:val="44CE0922"/>
    <w:rsid w:val="44D10434"/>
    <w:rsid w:val="44DC2009"/>
    <w:rsid w:val="450D1680"/>
    <w:rsid w:val="45462FC3"/>
    <w:rsid w:val="455A2497"/>
    <w:rsid w:val="458F4ADF"/>
    <w:rsid w:val="45903FDD"/>
    <w:rsid w:val="45927ACF"/>
    <w:rsid w:val="45942B27"/>
    <w:rsid w:val="461A46B9"/>
    <w:rsid w:val="462148C1"/>
    <w:rsid w:val="46252A99"/>
    <w:rsid w:val="4659102E"/>
    <w:rsid w:val="465F196D"/>
    <w:rsid w:val="467848DB"/>
    <w:rsid w:val="46963997"/>
    <w:rsid w:val="46F74436"/>
    <w:rsid w:val="47051099"/>
    <w:rsid w:val="470F3C79"/>
    <w:rsid w:val="475E3449"/>
    <w:rsid w:val="478967B4"/>
    <w:rsid w:val="47982284"/>
    <w:rsid w:val="47C25556"/>
    <w:rsid w:val="47C362FF"/>
    <w:rsid w:val="47C6635A"/>
    <w:rsid w:val="47C83F0B"/>
    <w:rsid w:val="47EF67FD"/>
    <w:rsid w:val="47FC60B2"/>
    <w:rsid w:val="48382A1A"/>
    <w:rsid w:val="486652A7"/>
    <w:rsid w:val="48C83BB4"/>
    <w:rsid w:val="49073CEA"/>
    <w:rsid w:val="49B6796C"/>
    <w:rsid w:val="49FE09B0"/>
    <w:rsid w:val="4A757E64"/>
    <w:rsid w:val="4A823874"/>
    <w:rsid w:val="4A86206C"/>
    <w:rsid w:val="4A881878"/>
    <w:rsid w:val="4AA173B4"/>
    <w:rsid w:val="4AA348A3"/>
    <w:rsid w:val="4AA63B37"/>
    <w:rsid w:val="4B0269D2"/>
    <w:rsid w:val="4B244615"/>
    <w:rsid w:val="4B263FD8"/>
    <w:rsid w:val="4B375A36"/>
    <w:rsid w:val="4B3969F9"/>
    <w:rsid w:val="4B7E6C22"/>
    <w:rsid w:val="4B97788F"/>
    <w:rsid w:val="4C1759FF"/>
    <w:rsid w:val="4C7B2D4A"/>
    <w:rsid w:val="4C7B5BA4"/>
    <w:rsid w:val="4CA938A5"/>
    <w:rsid w:val="4CC94DF4"/>
    <w:rsid w:val="4CE10E12"/>
    <w:rsid w:val="4D094FC4"/>
    <w:rsid w:val="4D372278"/>
    <w:rsid w:val="4D41319D"/>
    <w:rsid w:val="4D4D0C97"/>
    <w:rsid w:val="4D5A0D3E"/>
    <w:rsid w:val="4D98533A"/>
    <w:rsid w:val="4DB22285"/>
    <w:rsid w:val="4E052BE9"/>
    <w:rsid w:val="4E3872EE"/>
    <w:rsid w:val="4E7D3A22"/>
    <w:rsid w:val="4E8C6A4F"/>
    <w:rsid w:val="4EC731AC"/>
    <w:rsid w:val="4F1045CE"/>
    <w:rsid w:val="4F477F24"/>
    <w:rsid w:val="4F512F2C"/>
    <w:rsid w:val="4F582B8A"/>
    <w:rsid w:val="4F922963"/>
    <w:rsid w:val="4F942E56"/>
    <w:rsid w:val="4FEE7B91"/>
    <w:rsid w:val="501653CD"/>
    <w:rsid w:val="504C76F3"/>
    <w:rsid w:val="50836D3A"/>
    <w:rsid w:val="509C757E"/>
    <w:rsid w:val="50A6515E"/>
    <w:rsid w:val="50BA786B"/>
    <w:rsid w:val="50DD4900"/>
    <w:rsid w:val="51C30E54"/>
    <w:rsid w:val="51D77DCE"/>
    <w:rsid w:val="51F15B52"/>
    <w:rsid w:val="520C67D5"/>
    <w:rsid w:val="524F1A68"/>
    <w:rsid w:val="52513323"/>
    <w:rsid w:val="5261289F"/>
    <w:rsid w:val="52666EC0"/>
    <w:rsid w:val="529A78E6"/>
    <w:rsid w:val="52CD45AB"/>
    <w:rsid w:val="52F1628B"/>
    <w:rsid w:val="5318164F"/>
    <w:rsid w:val="53DA0EEC"/>
    <w:rsid w:val="54105E10"/>
    <w:rsid w:val="54220010"/>
    <w:rsid w:val="542F7157"/>
    <w:rsid w:val="54AE08D9"/>
    <w:rsid w:val="54BE3F26"/>
    <w:rsid w:val="54E61BBB"/>
    <w:rsid w:val="5505576D"/>
    <w:rsid w:val="550664E7"/>
    <w:rsid w:val="551C62C9"/>
    <w:rsid w:val="554329FC"/>
    <w:rsid w:val="556270B4"/>
    <w:rsid w:val="558C1468"/>
    <w:rsid w:val="558D5164"/>
    <w:rsid w:val="5632549B"/>
    <w:rsid w:val="563B0804"/>
    <w:rsid w:val="56536F44"/>
    <w:rsid w:val="56702801"/>
    <w:rsid w:val="56844146"/>
    <w:rsid w:val="56951D81"/>
    <w:rsid w:val="56A15BDC"/>
    <w:rsid w:val="56CB4872"/>
    <w:rsid w:val="56D23D2A"/>
    <w:rsid w:val="56DA2E2C"/>
    <w:rsid w:val="5775155A"/>
    <w:rsid w:val="577801EC"/>
    <w:rsid w:val="57842F19"/>
    <w:rsid w:val="57867F62"/>
    <w:rsid w:val="578D60A4"/>
    <w:rsid w:val="57F602EC"/>
    <w:rsid w:val="58112409"/>
    <w:rsid w:val="58117210"/>
    <w:rsid w:val="585B2164"/>
    <w:rsid w:val="58750F01"/>
    <w:rsid w:val="58822E3F"/>
    <w:rsid w:val="58AA1F47"/>
    <w:rsid w:val="58B9588A"/>
    <w:rsid w:val="590D482E"/>
    <w:rsid w:val="592F2358"/>
    <w:rsid w:val="596F5B34"/>
    <w:rsid w:val="59984A2E"/>
    <w:rsid w:val="59AC7302"/>
    <w:rsid w:val="5A5D5059"/>
    <w:rsid w:val="5AAD0A6E"/>
    <w:rsid w:val="5AC2214F"/>
    <w:rsid w:val="5B12188D"/>
    <w:rsid w:val="5B296AB8"/>
    <w:rsid w:val="5B33722F"/>
    <w:rsid w:val="5B930C19"/>
    <w:rsid w:val="5B9D063F"/>
    <w:rsid w:val="5BA8527C"/>
    <w:rsid w:val="5BC12B3F"/>
    <w:rsid w:val="5BE53848"/>
    <w:rsid w:val="5C046A5C"/>
    <w:rsid w:val="5C052729"/>
    <w:rsid w:val="5C481ED3"/>
    <w:rsid w:val="5C4A2849"/>
    <w:rsid w:val="5C54498E"/>
    <w:rsid w:val="5CBE1177"/>
    <w:rsid w:val="5CBF599E"/>
    <w:rsid w:val="5D0A4485"/>
    <w:rsid w:val="5D3636B1"/>
    <w:rsid w:val="5D3637D7"/>
    <w:rsid w:val="5D38775F"/>
    <w:rsid w:val="5D787FB8"/>
    <w:rsid w:val="5D7F352E"/>
    <w:rsid w:val="5D826A79"/>
    <w:rsid w:val="5D9D4570"/>
    <w:rsid w:val="5DF064A2"/>
    <w:rsid w:val="5DF35480"/>
    <w:rsid w:val="5DF452AB"/>
    <w:rsid w:val="5DFA71D3"/>
    <w:rsid w:val="5DFF6B40"/>
    <w:rsid w:val="5E3B3681"/>
    <w:rsid w:val="5E4774AC"/>
    <w:rsid w:val="5EAC5CBD"/>
    <w:rsid w:val="5EC926C7"/>
    <w:rsid w:val="5F2449D6"/>
    <w:rsid w:val="5F604DF4"/>
    <w:rsid w:val="5F7D5C43"/>
    <w:rsid w:val="5F82536B"/>
    <w:rsid w:val="5F896614"/>
    <w:rsid w:val="5F953188"/>
    <w:rsid w:val="5FD25D65"/>
    <w:rsid w:val="604B00BA"/>
    <w:rsid w:val="606E6168"/>
    <w:rsid w:val="6077386D"/>
    <w:rsid w:val="60BC0900"/>
    <w:rsid w:val="60FB4ACC"/>
    <w:rsid w:val="61342EE0"/>
    <w:rsid w:val="61603634"/>
    <w:rsid w:val="61664963"/>
    <w:rsid w:val="616823DD"/>
    <w:rsid w:val="61B719C0"/>
    <w:rsid w:val="61D01377"/>
    <w:rsid w:val="620E2F87"/>
    <w:rsid w:val="621842B5"/>
    <w:rsid w:val="624A0EBD"/>
    <w:rsid w:val="62724B64"/>
    <w:rsid w:val="62795C84"/>
    <w:rsid w:val="62FD69AF"/>
    <w:rsid w:val="630E3B7D"/>
    <w:rsid w:val="631A396D"/>
    <w:rsid w:val="631E0515"/>
    <w:rsid w:val="632F27B8"/>
    <w:rsid w:val="633D0FCB"/>
    <w:rsid w:val="634467FD"/>
    <w:rsid w:val="637553AF"/>
    <w:rsid w:val="63A058BB"/>
    <w:rsid w:val="63B03E93"/>
    <w:rsid w:val="63DF382B"/>
    <w:rsid w:val="63E27A0C"/>
    <w:rsid w:val="643839F7"/>
    <w:rsid w:val="644B146B"/>
    <w:rsid w:val="64AC452B"/>
    <w:rsid w:val="64AE04B2"/>
    <w:rsid w:val="64D20092"/>
    <w:rsid w:val="64DA0E25"/>
    <w:rsid w:val="64E752BD"/>
    <w:rsid w:val="64ED2F18"/>
    <w:rsid w:val="64F93DC3"/>
    <w:rsid w:val="65967D35"/>
    <w:rsid w:val="659C4B52"/>
    <w:rsid w:val="65E1359C"/>
    <w:rsid w:val="65EB14F3"/>
    <w:rsid w:val="65F7082A"/>
    <w:rsid w:val="65FF3823"/>
    <w:rsid w:val="66663562"/>
    <w:rsid w:val="66744AA5"/>
    <w:rsid w:val="66A01E20"/>
    <w:rsid w:val="66D41C46"/>
    <w:rsid w:val="67057C39"/>
    <w:rsid w:val="671D1438"/>
    <w:rsid w:val="673962FA"/>
    <w:rsid w:val="67572209"/>
    <w:rsid w:val="677B215A"/>
    <w:rsid w:val="677C2577"/>
    <w:rsid w:val="677E44B5"/>
    <w:rsid w:val="679F4F83"/>
    <w:rsid w:val="67FB47D3"/>
    <w:rsid w:val="6824093F"/>
    <w:rsid w:val="682F784C"/>
    <w:rsid w:val="68633281"/>
    <w:rsid w:val="686B6F42"/>
    <w:rsid w:val="686E3734"/>
    <w:rsid w:val="68792F69"/>
    <w:rsid w:val="68843A54"/>
    <w:rsid w:val="688D7E03"/>
    <w:rsid w:val="68B56363"/>
    <w:rsid w:val="68C12A9D"/>
    <w:rsid w:val="68EA010D"/>
    <w:rsid w:val="68F656F3"/>
    <w:rsid w:val="691D5580"/>
    <w:rsid w:val="69272501"/>
    <w:rsid w:val="698C091A"/>
    <w:rsid w:val="69BD27A4"/>
    <w:rsid w:val="69C56A18"/>
    <w:rsid w:val="69E50204"/>
    <w:rsid w:val="6A0015CA"/>
    <w:rsid w:val="6A016C87"/>
    <w:rsid w:val="6A065370"/>
    <w:rsid w:val="6A142AE4"/>
    <w:rsid w:val="6A5F5901"/>
    <w:rsid w:val="6A8238AB"/>
    <w:rsid w:val="6A887328"/>
    <w:rsid w:val="6A8A6840"/>
    <w:rsid w:val="6AB43F06"/>
    <w:rsid w:val="6AC274FE"/>
    <w:rsid w:val="6AC350C9"/>
    <w:rsid w:val="6AC70E68"/>
    <w:rsid w:val="6AD95FDF"/>
    <w:rsid w:val="6AFA3983"/>
    <w:rsid w:val="6B1D3BCB"/>
    <w:rsid w:val="6B3158B9"/>
    <w:rsid w:val="6B33356D"/>
    <w:rsid w:val="6BA35411"/>
    <w:rsid w:val="6BCF3DB4"/>
    <w:rsid w:val="6C054650"/>
    <w:rsid w:val="6C201B81"/>
    <w:rsid w:val="6C3E5445"/>
    <w:rsid w:val="6C6D6F91"/>
    <w:rsid w:val="6C88625E"/>
    <w:rsid w:val="6CB06F84"/>
    <w:rsid w:val="6CB8670C"/>
    <w:rsid w:val="6D0A090A"/>
    <w:rsid w:val="6D326DE0"/>
    <w:rsid w:val="6D620F16"/>
    <w:rsid w:val="6D665DFA"/>
    <w:rsid w:val="6DC8644B"/>
    <w:rsid w:val="6DF17B9D"/>
    <w:rsid w:val="6E1F40EF"/>
    <w:rsid w:val="6E58511B"/>
    <w:rsid w:val="6E5A0D98"/>
    <w:rsid w:val="6E6A26C1"/>
    <w:rsid w:val="6ED21F10"/>
    <w:rsid w:val="6EEE18DD"/>
    <w:rsid w:val="6F080338"/>
    <w:rsid w:val="6F0863D7"/>
    <w:rsid w:val="6F1E6349"/>
    <w:rsid w:val="6F3953F3"/>
    <w:rsid w:val="6F4C2B9A"/>
    <w:rsid w:val="6F731E10"/>
    <w:rsid w:val="6FA15F3C"/>
    <w:rsid w:val="6FBB5014"/>
    <w:rsid w:val="701A0AC6"/>
    <w:rsid w:val="703448ED"/>
    <w:rsid w:val="70EB70D9"/>
    <w:rsid w:val="7149603D"/>
    <w:rsid w:val="7191192B"/>
    <w:rsid w:val="719321A3"/>
    <w:rsid w:val="71F108D3"/>
    <w:rsid w:val="723172A0"/>
    <w:rsid w:val="725C15CF"/>
    <w:rsid w:val="726218A5"/>
    <w:rsid w:val="72853095"/>
    <w:rsid w:val="72A34FCB"/>
    <w:rsid w:val="72AA208D"/>
    <w:rsid w:val="72D111A5"/>
    <w:rsid w:val="72DA194E"/>
    <w:rsid w:val="72E1796D"/>
    <w:rsid w:val="72F37AC4"/>
    <w:rsid w:val="72FF03B9"/>
    <w:rsid w:val="731627CE"/>
    <w:rsid w:val="734F4AC3"/>
    <w:rsid w:val="737671A3"/>
    <w:rsid w:val="738E1E70"/>
    <w:rsid w:val="739E27B8"/>
    <w:rsid w:val="73A44841"/>
    <w:rsid w:val="73AA1566"/>
    <w:rsid w:val="73C36C71"/>
    <w:rsid w:val="73D60DC0"/>
    <w:rsid w:val="73FE7F01"/>
    <w:rsid w:val="740B755E"/>
    <w:rsid w:val="74106863"/>
    <w:rsid w:val="741C7C7A"/>
    <w:rsid w:val="74834445"/>
    <w:rsid w:val="749C4AA7"/>
    <w:rsid w:val="74B0081B"/>
    <w:rsid w:val="74DC1E43"/>
    <w:rsid w:val="75266D93"/>
    <w:rsid w:val="753A180E"/>
    <w:rsid w:val="75907680"/>
    <w:rsid w:val="75B20134"/>
    <w:rsid w:val="75BF1125"/>
    <w:rsid w:val="7620613A"/>
    <w:rsid w:val="7623310A"/>
    <w:rsid w:val="76337DDA"/>
    <w:rsid w:val="76397913"/>
    <w:rsid w:val="764A4782"/>
    <w:rsid w:val="76695453"/>
    <w:rsid w:val="76A2699F"/>
    <w:rsid w:val="76A33CAD"/>
    <w:rsid w:val="76D4241C"/>
    <w:rsid w:val="76E41FD6"/>
    <w:rsid w:val="76E51D0E"/>
    <w:rsid w:val="7783363C"/>
    <w:rsid w:val="779919FD"/>
    <w:rsid w:val="779D37F4"/>
    <w:rsid w:val="77D86B3F"/>
    <w:rsid w:val="77E068D1"/>
    <w:rsid w:val="7805406C"/>
    <w:rsid w:val="782177E4"/>
    <w:rsid w:val="7836450F"/>
    <w:rsid w:val="7845344B"/>
    <w:rsid w:val="78600B2E"/>
    <w:rsid w:val="78831703"/>
    <w:rsid w:val="788B1F02"/>
    <w:rsid w:val="78A47DD7"/>
    <w:rsid w:val="78B254C4"/>
    <w:rsid w:val="78EA5C27"/>
    <w:rsid w:val="791D2ACC"/>
    <w:rsid w:val="791E4FA3"/>
    <w:rsid w:val="79292630"/>
    <w:rsid w:val="799E363A"/>
    <w:rsid w:val="79EB5214"/>
    <w:rsid w:val="7A2326C4"/>
    <w:rsid w:val="7A3709F0"/>
    <w:rsid w:val="7A3915CB"/>
    <w:rsid w:val="7AA37166"/>
    <w:rsid w:val="7AE31134"/>
    <w:rsid w:val="7B13514F"/>
    <w:rsid w:val="7B265E6F"/>
    <w:rsid w:val="7B580C40"/>
    <w:rsid w:val="7B6273C9"/>
    <w:rsid w:val="7B8560E6"/>
    <w:rsid w:val="7B980403"/>
    <w:rsid w:val="7BAC63E8"/>
    <w:rsid w:val="7BEB5709"/>
    <w:rsid w:val="7BF80007"/>
    <w:rsid w:val="7C2D4ED5"/>
    <w:rsid w:val="7C5C1439"/>
    <w:rsid w:val="7C5E0A7B"/>
    <w:rsid w:val="7C5F24FD"/>
    <w:rsid w:val="7C7E1CA6"/>
    <w:rsid w:val="7C8A120B"/>
    <w:rsid w:val="7CD24305"/>
    <w:rsid w:val="7D0C7D05"/>
    <w:rsid w:val="7D43380C"/>
    <w:rsid w:val="7D626B48"/>
    <w:rsid w:val="7D650B9A"/>
    <w:rsid w:val="7D870A88"/>
    <w:rsid w:val="7E066BDD"/>
    <w:rsid w:val="7E0A3F12"/>
    <w:rsid w:val="7EA873A0"/>
    <w:rsid w:val="7F060F39"/>
    <w:rsid w:val="7F0A2251"/>
    <w:rsid w:val="7F55391D"/>
    <w:rsid w:val="7FA54CCC"/>
    <w:rsid w:val="7FB720B2"/>
    <w:rsid w:val="BFE6E9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6"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4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unhideWhenUsed/>
    <w:qFormat/>
    <w:uiPriority w:val="9"/>
    <w:pPr>
      <w:keepNext/>
      <w:keepLines/>
      <w:spacing w:before="260" w:after="260" w:line="413" w:lineRule="auto"/>
      <w:outlineLvl w:val="2"/>
    </w:pPr>
    <w:rPr>
      <w:b/>
      <w:sz w:val="32"/>
    </w:rPr>
  </w:style>
  <w:style w:type="paragraph" w:styleId="5">
    <w:name w:val="heading 4"/>
    <w:basedOn w:val="1"/>
    <w:next w:val="1"/>
    <w:qFormat/>
    <w:uiPriority w:val="9"/>
    <w:pPr>
      <w:keepNext/>
      <w:keepLines/>
      <w:spacing w:before="280" w:after="290" w:line="372" w:lineRule="auto"/>
      <w:outlineLvl w:val="3"/>
    </w:pPr>
    <w:rPr>
      <w:rFonts w:ascii="Arial" w:hAnsi="Arial" w:eastAsia="黑体"/>
      <w:b/>
      <w:bCs/>
      <w:sz w:val="28"/>
      <w:szCs w:val="28"/>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7"/>
    <w:link w:val="54"/>
    <w:qFormat/>
    <w:uiPriority w:val="0"/>
    <w:pPr>
      <w:ind w:firstLine="420"/>
    </w:pPr>
    <w:rPr>
      <w:szCs w:val="20"/>
    </w:rPr>
  </w:style>
  <w:style w:type="paragraph" w:styleId="7">
    <w:name w:val="Body Text Indent"/>
    <w:basedOn w:val="1"/>
    <w:next w:val="6"/>
    <w:qFormat/>
    <w:uiPriority w:val="0"/>
    <w:pPr>
      <w:widowControl/>
      <w:spacing w:before="100" w:beforeAutospacing="1" w:after="100" w:afterAutospacing="1"/>
      <w:jc w:val="left"/>
    </w:pPr>
    <w:rPr>
      <w:rFonts w:ascii="宋体" w:hAnsi="宋体" w:cs="宋体"/>
      <w:kern w:val="0"/>
      <w:sz w:val="24"/>
    </w:rPr>
  </w:style>
  <w:style w:type="paragraph" w:styleId="8">
    <w:name w:val="caption"/>
    <w:basedOn w:val="1"/>
    <w:next w:val="1"/>
    <w:qFormat/>
    <w:uiPriority w:val="0"/>
    <w:pPr>
      <w:widowControl/>
      <w:spacing w:after="200" w:line="276" w:lineRule="auto"/>
      <w:jc w:val="left"/>
    </w:pPr>
    <w:rPr>
      <w:b/>
      <w:bCs/>
      <w:caps/>
      <w:kern w:val="0"/>
      <w:sz w:val="16"/>
      <w:szCs w:val="18"/>
      <w:lang w:eastAsia="en-US" w:bidi="en-US"/>
    </w:rPr>
  </w:style>
  <w:style w:type="paragraph" w:styleId="9">
    <w:name w:val="annotation text"/>
    <w:basedOn w:val="1"/>
    <w:link w:val="47"/>
    <w:qFormat/>
    <w:uiPriority w:val="0"/>
    <w:pPr>
      <w:jc w:val="left"/>
    </w:pPr>
  </w:style>
  <w:style w:type="paragraph" w:styleId="10">
    <w:name w:val="Body Text"/>
    <w:basedOn w:val="1"/>
    <w:next w:val="11"/>
    <w:qFormat/>
    <w:uiPriority w:val="0"/>
    <w:pPr>
      <w:spacing w:after="120"/>
    </w:pPr>
    <w:rPr>
      <w:sz w:val="28"/>
    </w:rPr>
  </w:style>
  <w:style w:type="paragraph" w:customStyle="1" w:styleId="11">
    <w:name w:val="目录 44"/>
    <w:next w:val="1"/>
    <w:qFormat/>
    <w:uiPriority w:val="0"/>
    <w:pPr>
      <w:wordWrap w:val="0"/>
      <w:ind w:left="850"/>
      <w:jc w:val="both"/>
    </w:pPr>
    <w:rPr>
      <w:rFonts w:ascii="Times New Roman" w:hAnsi="Times New Roman" w:eastAsia="宋体" w:cs="Times New Roman"/>
      <w:sz w:val="21"/>
      <w:szCs w:val="22"/>
      <w:lang w:val="en-US" w:eastAsia="zh-CN" w:bidi="ar-SA"/>
    </w:rPr>
  </w:style>
  <w:style w:type="paragraph" w:styleId="12">
    <w:name w:val="List Number 3"/>
    <w:basedOn w:val="1"/>
    <w:qFormat/>
    <w:uiPriority w:val="0"/>
    <w:pPr>
      <w:tabs>
        <w:tab w:val="left" w:pos="1200"/>
      </w:tabs>
      <w:ind w:left="1200" w:hanging="360"/>
    </w:pPr>
  </w:style>
  <w:style w:type="paragraph" w:styleId="13">
    <w:name w:val="Block Text"/>
    <w:basedOn w:val="1"/>
    <w:qFormat/>
    <w:uiPriority w:val="0"/>
    <w:pPr>
      <w:adjustRightInd w:val="0"/>
      <w:ind w:left="420" w:right="33"/>
      <w:jc w:val="left"/>
    </w:pPr>
    <w:rPr>
      <w:kern w:val="0"/>
      <w:sz w:val="24"/>
      <w:szCs w:val="20"/>
    </w:rPr>
  </w:style>
  <w:style w:type="paragraph" w:styleId="14">
    <w:name w:val="toc 3"/>
    <w:basedOn w:val="1"/>
    <w:next w:val="1"/>
    <w:qFormat/>
    <w:uiPriority w:val="0"/>
    <w:pPr>
      <w:ind w:left="840" w:leftChars="400"/>
    </w:pPr>
  </w:style>
  <w:style w:type="paragraph" w:styleId="15">
    <w:name w:val="Plain Text"/>
    <w:basedOn w:val="1"/>
    <w:next w:val="16"/>
    <w:link w:val="59"/>
    <w:qFormat/>
    <w:uiPriority w:val="0"/>
    <w:pPr>
      <w:widowControl/>
      <w:spacing w:before="100" w:beforeAutospacing="1" w:after="100" w:afterAutospacing="1"/>
      <w:jc w:val="left"/>
    </w:pPr>
    <w:rPr>
      <w:rFonts w:ascii="宋体" w:hAnsi="宋体"/>
      <w:kern w:val="0"/>
      <w:sz w:val="24"/>
    </w:rPr>
  </w:style>
  <w:style w:type="paragraph" w:styleId="16">
    <w:name w:val="Date"/>
    <w:basedOn w:val="1"/>
    <w:next w:val="1"/>
    <w:link w:val="48"/>
    <w:qFormat/>
    <w:uiPriority w:val="0"/>
    <w:pPr>
      <w:widowControl/>
      <w:spacing w:before="100" w:beforeAutospacing="1" w:after="100" w:afterAutospacing="1"/>
      <w:jc w:val="left"/>
    </w:pPr>
    <w:rPr>
      <w:rFonts w:ascii="宋体" w:hAnsi="宋体"/>
      <w:kern w:val="0"/>
      <w:sz w:val="24"/>
    </w:rPr>
  </w:style>
  <w:style w:type="paragraph" w:styleId="17">
    <w:name w:val="Body Text Indent 2"/>
    <w:basedOn w:val="1"/>
    <w:link w:val="53"/>
    <w:qFormat/>
    <w:uiPriority w:val="0"/>
    <w:pPr>
      <w:spacing w:after="120" w:line="480" w:lineRule="auto"/>
      <w:ind w:left="420" w:leftChars="200"/>
    </w:pPr>
  </w:style>
  <w:style w:type="paragraph" w:styleId="18">
    <w:name w:val="Balloon Text"/>
    <w:basedOn w:val="1"/>
    <w:semiHidden/>
    <w:qFormat/>
    <w:uiPriority w:val="0"/>
    <w:rPr>
      <w:sz w:val="18"/>
      <w:szCs w:val="18"/>
    </w:rPr>
  </w:style>
  <w:style w:type="paragraph" w:styleId="19">
    <w:name w:val="footer"/>
    <w:basedOn w:val="1"/>
    <w:link w:val="57"/>
    <w:qFormat/>
    <w:uiPriority w:val="99"/>
    <w:pPr>
      <w:tabs>
        <w:tab w:val="center" w:pos="4153"/>
        <w:tab w:val="right" w:pos="8306"/>
      </w:tabs>
      <w:snapToGrid w:val="0"/>
      <w:jc w:val="left"/>
    </w:pPr>
    <w:rPr>
      <w:sz w:val="18"/>
      <w:szCs w:val="18"/>
    </w:rPr>
  </w:style>
  <w:style w:type="paragraph" w:styleId="20">
    <w:name w:val="envelope return"/>
    <w:basedOn w:val="1"/>
    <w:qFormat/>
    <w:uiPriority w:val="0"/>
    <w:pPr>
      <w:widowControl/>
      <w:adjustRightInd w:val="0"/>
      <w:snapToGrid w:val="0"/>
      <w:spacing w:after="200"/>
      <w:jc w:val="left"/>
    </w:pPr>
    <w:rPr>
      <w:rFonts w:ascii="Arial" w:hAnsi="Arial" w:eastAsia="微软雅黑"/>
      <w:kern w:val="0"/>
      <w:sz w:val="22"/>
      <w:szCs w:val="22"/>
    </w:rPr>
  </w:style>
  <w:style w:type="paragraph" w:styleId="21">
    <w:name w:val="header"/>
    <w:basedOn w:val="1"/>
    <w:link w:val="49"/>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0"/>
    <w:pPr>
      <w:tabs>
        <w:tab w:val="right" w:leader="dot" w:pos="8494"/>
      </w:tabs>
    </w:pPr>
    <w:rPr>
      <w:rFonts w:ascii="宋体" w:hAnsi="宋体"/>
      <w:sz w:val="32"/>
    </w:rPr>
  </w:style>
  <w:style w:type="paragraph" w:styleId="23">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24">
    <w:name w:val="List"/>
    <w:basedOn w:val="1"/>
    <w:qFormat/>
    <w:uiPriority w:val="0"/>
    <w:pPr>
      <w:ind w:left="200" w:hanging="200" w:hangingChars="200"/>
    </w:pPr>
    <w:rPr>
      <w:szCs w:val="22"/>
    </w:rPr>
  </w:style>
  <w:style w:type="paragraph" w:styleId="25">
    <w:name w:val="footnote text"/>
    <w:basedOn w:val="1"/>
    <w:semiHidden/>
    <w:qFormat/>
    <w:uiPriority w:val="99"/>
    <w:pPr>
      <w:snapToGrid w:val="0"/>
    </w:pPr>
    <w:rPr>
      <w:sz w:val="18"/>
      <w:szCs w:val="18"/>
    </w:rPr>
  </w:style>
  <w:style w:type="paragraph" w:styleId="26">
    <w:name w:val="Body Text Indent 3"/>
    <w:basedOn w:val="1"/>
    <w:link w:val="58"/>
    <w:qFormat/>
    <w:uiPriority w:val="0"/>
    <w:pPr>
      <w:spacing w:after="120"/>
      <w:ind w:left="420" w:leftChars="200"/>
    </w:pPr>
    <w:rPr>
      <w:kern w:val="0"/>
      <w:sz w:val="16"/>
      <w:szCs w:val="16"/>
    </w:rPr>
  </w:style>
  <w:style w:type="paragraph" w:styleId="27">
    <w:name w:val="toc 2"/>
    <w:basedOn w:val="1"/>
    <w:next w:val="1"/>
    <w:qFormat/>
    <w:uiPriority w:val="0"/>
    <w:pPr>
      <w:tabs>
        <w:tab w:val="right" w:leader="dot" w:pos="8494"/>
      </w:tabs>
    </w:pPr>
    <w:rPr>
      <w:sz w:val="30"/>
    </w:rPr>
  </w:style>
  <w:style w:type="paragraph" w:styleId="28">
    <w:name w:val="Normal (Web)"/>
    <w:basedOn w:val="1"/>
    <w:qFormat/>
    <w:uiPriority w:val="0"/>
    <w:pPr>
      <w:spacing w:before="100" w:beforeAutospacing="1" w:after="100" w:afterAutospacing="1"/>
    </w:pPr>
    <w:rPr>
      <w:rFonts w:ascii="Arial Unicode MS" w:hAnsi="Arial Unicode MS" w:eastAsia="Times New Roman"/>
      <w:color w:val="000000"/>
      <w:sz w:val="24"/>
    </w:rPr>
  </w:style>
  <w:style w:type="paragraph" w:styleId="29">
    <w:name w:val="Title"/>
    <w:basedOn w:val="1"/>
    <w:next w:val="1"/>
    <w:qFormat/>
    <w:uiPriority w:val="0"/>
    <w:pPr>
      <w:spacing w:before="240" w:after="60"/>
      <w:jc w:val="center"/>
      <w:outlineLvl w:val="0"/>
    </w:pPr>
    <w:rPr>
      <w:rFonts w:ascii="Cambria" w:hAnsi="Cambria"/>
      <w:b/>
      <w:bCs/>
      <w:sz w:val="32"/>
      <w:szCs w:val="32"/>
    </w:rPr>
  </w:style>
  <w:style w:type="paragraph" w:styleId="30">
    <w:name w:val="annotation subject"/>
    <w:basedOn w:val="9"/>
    <w:next w:val="9"/>
    <w:link w:val="62"/>
    <w:qFormat/>
    <w:uiPriority w:val="0"/>
    <w:rPr>
      <w:b/>
      <w:bCs/>
    </w:rPr>
  </w:style>
  <w:style w:type="paragraph" w:styleId="31">
    <w:name w:val="Body Text First Indent"/>
    <w:basedOn w:val="10"/>
    <w:next w:val="1"/>
    <w:qFormat/>
    <w:uiPriority w:val="0"/>
    <w:pPr>
      <w:ind w:firstLine="420" w:firstLineChars="100"/>
    </w:pPr>
  </w:style>
  <w:style w:type="paragraph" w:styleId="32">
    <w:name w:val="Body Text First Indent 2"/>
    <w:basedOn w:val="7"/>
    <w:qFormat/>
    <w:uiPriority w:val="0"/>
    <w:pPr>
      <w:autoSpaceDE w:val="0"/>
      <w:autoSpaceDN w:val="0"/>
      <w:adjustRightInd w:val="0"/>
      <w:ind w:firstLine="420" w:firstLineChars="200"/>
      <w:textAlignment w:val="baseline"/>
    </w:pPr>
    <w:rPr>
      <w:rFonts w:asciiTheme="minorHAnsi" w:hAnsiTheme="minorHAnsi" w:cstheme="minorBidi"/>
      <w:kern w:val="2"/>
      <w:sz w:val="28"/>
      <w:szCs w:val="22"/>
    </w:rPr>
  </w:style>
  <w:style w:type="table" w:styleId="34">
    <w:name w:val="Table Grid"/>
    <w:basedOn w:val="3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page number"/>
    <w:basedOn w:val="35"/>
    <w:qFormat/>
    <w:uiPriority w:val="6"/>
  </w:style>
  <w:style w:type="character" w:styleId="38">
    <w:name w:val="Hyperlink"/>
    <w:qFormat/>
    <w:uiPriority w:val="0"/>
    <w:rPr>
      <w:color w:val="0000FF"/>
      <w:u w:val="single"/>
    </w:rPr>
  </w:style>
  <w:style w:type="character" w:styleId="39">
    <w:name w:val="annotation reference"/>
    <w:qFormat/>
    <w:uiPriority w:val="0"/>
    <w:rPr>
      <w:sz w:val="21"/>
      <w:szCs w:val="21"/>
    </w:rPr>
  </w:style>
  <w:style w:type="paragraph" w:customStyle="1" w:styleId="4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1">
    <w:name w:val="正文格式"/>
    <w:basedOn w:val="1"/>
    <w:qFormat/>
    <w:uiPriority w:val="0"/>
    <w:pPr>
      <w:widowControl/>
      <w:adjustRightInd w:val="0"/>
      <w:snapToGrid w:val="0"/>
      <w:spacing w:line="400" w:lineRule="atLeast"/>
      <w:ind w:firstLine="482"/>
      <w:textAlignment w:val="baseline"/>
    </w:pPr>
    <w:rPr>
      <w:kern w:val="0"/>
      <w:sz w:val="24"/>
      <w:szCs w:val="22"/>
    </w:rPr>
  </w:style>
  <w:style w:type="character" w:customStyle="1" w:styleId="42">
    <w:name w:val="标题 1 字符"/>
    <w:link w:val="2"/>
    <w:qFormat/>
    <w:uiPriority w:val="0"/>
    <w:rPr>
      <w:b/>
      <w:bCs/>
      <w:kern w:val="44"/>
      <w:sz w:val="44"/>
      <w:szCs w:val="44"/>
    </w:rPr>
  </w:style>
  <w:style w:type="paragraph" w:customStyle="1" w:styleId="43">
    <w:name w:val="DAS正文"/>
    <w:basedOn w:val="1"/>
    <w:qFormat/>
    <w:uiPriority w:val="0"/>
    <w:pPr>
      <w:spacing w:line="360" w:lineRule="auto"/>
      <w:ind w:right="181" w:firstLine="480" w:firstLineChars="200"/>
    </w:pPr>
    <w:rPr>
      <w:rFonts w:ascii="Verdana" w:hAnsi="Verdana"/>
    </w:rPr>
  </w:style>
  <w:style w:type="paragraph" w:customStyle="1" w:styleId="44">
    <w:name w:val="表格文字"/>
    <w:basedOn w:val="1"/>
    <w:next w:val="10"/>
    <w:qFormat/>
    <w:uiPriority w:val="0"/>
    <w:pPr>
      <w:adjustRightInd w:val="0"/>
      <w:spacing w:line="420" w:lineRule="atLeast"/>
      <w:jc w:val="left"/>
      <w:textAlignment w:val="baseline"/>
    </w:pPr>
    <w:rPr>
      <w:rFonts w:ascii="Times New Roman" w:hAnsi="Times New Roman"/>
      <w:kern w:val="0"/>
    </w:rPr>
  </w:style>
  <w:style w:type="paragraph" w:customStyle="1" w:styleId="45">
    <w:name w:val="章正文"/>
    <w:basedOn w:val="1"/>
    <w:qFormat/>
    <w:uiPriority w:val="0"/>
    <w:pPr>
      <w:spacing w:before="156" w:beforeLines="50" w:after="120" w:line="300" w:lineRule="auto"/>
      <w:ind w:firstLine="480"/>
    </w:pPr>
    <w:rPr>
      <w:rFonts w:ascii="Helvetica" w:hAnsi="Helvetica"/>
      <w:kern w:val="0"/>
      <w:sz w:val="24"/>
    </w:rPr>
  </w:style>
  <w:style w:type="paragraph" w:customStyle="1" w:styleId="46">
    <w:name w:val="_Style 3"/>
    <w:qFormat/>
    <w:uiPriority w:val="0"/>
    <w:rPr>
      <w:rFonts w:ascii="Times New Roman" w:hAnsi="Times New Roman" w:eastAsia="宋体" w:cs="Times New Roman"/>
      <w:sz w:val="22"/>
      <w:szCs w:val="22"/>
      <w:lang w:val="en-US" w:eastAsia="zh-CN" w:bidi="ar-SA"/>
    </w:rPr>
  </w:style>
  <w:style w:type="character" w:customStyle="1" w:styleId="47">
    <w:name w:val="批注文字 字符"/>
    <w:link w:val="9"/>
    <w:qFormat/>
    <w:uiPriority w:val="0"/>
    <w:rPr>
      <w:kern w:val="2"/>
      <w:sz w:val="21"/>
      <w:szCs w:val="24"/>
    </w:rPr>
  </w:style>
  <w:style w:type="character" w:customStyle="1" w:styleId="48">
    <w:name w:val="日期 字符"/>
    <w:link w:val="16"/>
    <w:qFormat/>
    <w:uiPriority w:val="0"/>
    <w:rPr>
      <w:rFonts w:ascii="宋体" w:hAnsi="宋体" w:cs="宋体"/>
      <w:sz w:val="24"/>
      <w:szCs w:val="24"/>
    </w:rPr>
  </w:style>
  <w:style w:type="character" w:customStyle="1" w:styleId="49">
    <w:name w:val="页眉 字符"/>
    <w:link w:val="21"/>
    <w:qFormat/>
    <w:uiPriority w:val="99"/>
    <w:rPr>
      <w:kern w:val="2"/>
      <w:sz w:val="18"/>
      <w:szCs w:val="18"/>
    </w:rPr>
  </w:style>
  <w:style w:type="character" w:customStyle="1" w:styleId="50">
    <w:name w:val="标题1 Char"/>
    <w:link w:val="51"/>
    <w:qFormat/>
    <w:uiPriority w:val="0"/>
    <w:rPr>
      <w:rFonts w:ascii="宋体" w:hAnsi="Courier New"/>
      <w:b/>
      <w:sz w:val="30"/>
      <w:szCs w:val="21"/>
    </w:rPr>
  </w:style>
  <w:style w:type="paragraph" w:customStyle="1" w:styleId="51">
    <w:name w:val="标题1"/>
    <w:basedOn w:val="1"/>
    <w:link w:val="50"/>
    <w:qFormat/>
    <w:uiPriority w:val="0"/>
    <w:pPr>
      <w:spacing w:line="360" w:lineRule="auto"/>
    </w:pPr>
    <w:rPr>
      <w:rFonts w:ascii="宋体" w:hAnsi="Courier New"/>
      <w:b/>
      <w:kern w:val="0"/>
      <w:sz w:val="30"/>
      <w:szCs w:val="21"/>
    </w:rPr>
  </w:style>
  <w:style w:type="character" w:customStyle="1" w:styleId="52">
    <w:name w:val="正文文本缩进 3 Char1"/>
    <w:qFormat/>
    <w:uiPriority w:val="0"/>
    <w:rPr>
      <w:kern w:val="2"/>
      <w:sz w:val="16"/>
      <w:szCs w:val="16"/>
    </w:rPr>
  </w:style>
  <w:style w:type="character" w:customStyle="1" w:styleId="53">
    <w:name w:val="正文文本缩进 2 字符"/>
    <w:link w:val="17"/>
    <w:qFormat/>
    <w:uiPriority w:val="0"/>
    <w:rPr>
      <w:kern w:val="2"/>
      <w:sz w:val="21"/>
      <w:szCs w:val="24"/>
    </w:rPr>
  </w:style>
  <w:style w:type="character" w:customStyle="1" w:styleId="54">
    <w:name w:val="正文缩进 字符"/>
    <w:link w:val="6"/>
    <w:qFormat/>
    <w:uiPriority w:val="0"/>
    <w:rPr>
      <w:kern w:val="2"/>
      <w:sz w:val="21"/>
    </w:rPr>
  </w:style>
  <w:style w:type="character" w:customStyle="1" w:styleId="55">
    <w:name w:val="标题 2 字符"/>
    <w:link w:val="3"/>
    <w:qFormat/>
    <w:uiPriority w:val="0"/>
    <w:rPr>
      <w:rFonts w:ascii="Arial" w:hAnsi="Arial" w:eastAsia="黑体"/>
      <w:b/>
      <w:bCs/>
      <w:kern w:val="2"/>
      <w:sz w:val="32"/>
      <w:szCs w:val="32"/>
    </w:rPr>
  </w:style>
  <w:style w:type="character" w:customStyle="1" w:styleId="56">
    <w:name w:val="纯文本 Char1"/>
    <w:qFormat/>
    <w:uiPriority w:val="0"/>
    <w:rPr>
      <w:rFonts w:ascii="宋体" w:hAnsi="Courier New" w:eastAsia="宋体"/>
      <w:kern w:val="2"/>
      <w:sz w:val="24"/>
      <w:szCs w:val="24"/>
      <w:lang w:val="en-US" w:eastAsia="zh-CN" w:bidi="ar-SA"/>
    </w:rPr>
  </w:style>
  <w:style w:type="character" w:customStyle="1" w:styleId="57">
    <w:name w:val="页脚 字符"/>
    <w:link w:val="19"/>
    <w:qFormat/>
    <w:uiPriority w:val="99"/>
    <w:rPr>
      <w:kern w:val="2"/>
      <w:sz w:val="18"/>
      <w:szCs w:val="18"/>
    </w:rPr>
  </w:style>
  <w:style w:type="character" w:customStyle="1" w:styleId="58">
    <w:name w:val="正文文本缩进 3 字符"/>
    <w:link w:val="26"/>
    <w:qFormat/>
    <w:uiPriority w:val="0"/>
    <w:rPr>
      <w:sz w:val="16"/>
      <w:szCs w:val="16"/>
    </w:rPr>
  </w:style>
  <w:style w:type="character" w:customStyle="1" w:styleId="59">
    <w:name w:val="纯文本 字符"/>
    <w:link w:val="15"/>
    <w:qFormat/>
    <w:uiPriority w:val="0"/>
    <w:rPr>
      <w:rFonts w:ascii="宋体" w:hAnsi="宋体" w:cs="宋体"/>
      <w:sz w:val="24"/>
      <w:szCs w:val="24"/>
    </w:rPr>
  </w:style>
  <w:style w:type="character" w:customStyle="1" w:styleId="60">
    <w:name w:val="无间隔 字符"/>
    <w:link w:val="61"/>
    <w:qFormat/>
    <w:uiPriority w:val="1"/>
    <w:rPr>
      <w:rFonts w:ascii="Calibri" w:hAnsi="Calibri"/>
      <w:sz w:val="22"/>
      <w:szCs w:val="22"/>
      <w:lang w:val="en-US" w:eastAsia="zh-CN" w:bidi="ar-SA"/>
    </w:rPr>
  </w:style>
  <w:style w:type="paragraph" w:styleId="61">
    <w:name w:val="No Spacing"/>
    <w:link w:val="60"/>
    <w:qFormat/>
    <w:uiPriority w:val="1"/>
    <w:rPr>
      <w:rFonts w:ascii="Calibri" w:hAnsi="Calibri" w:eastAsia="宋体" w:cs="Times New Roman"/>
      <w:sz w:val="22"/>
      <w:szCs w:val="22"/>
      <w:lang w:val="en-US" w:eastAsia="zh-CN" w:bidi="ar-SA"/>
    </w:rPr>
  </w:style>
  <w:style w:type="character" w:customStyle="1" w:styleId="62">
    <w:name w:val="批注主题 字符"/>
    <w:link w:val="30"/>
    <w:qFormat/>
    <w:uiPriority w:val="0"/>
    <w:rPr>
      <w:b/>
      <w:bCs/>
      <w:kern w:val="2"/>
      <w:sz w:val="21"/>
      <w:szCs w:val="24"/>
    </w:rPr>
  </w:style>
  <w:style w:type="paragraph" w:customStyle="1" w:styleId="63">
    <w:name w:val="正文1"/>
    <w:basedOn w:val="1"/>
    <w:qFormat/>
    <w:uiPriority w:val="0"/>
    <w:pPr>
      <w:widowControl/>
      <w:spacing w:line="360" w:lineRule="auto"/>
      <w:ind w:firstLine="200" w:firstLineChars="200"/>
      <w:jc w:val="left"/>
    </w:pPr>
    <w:rPr>
      <w:rFonts w:cs="仿宋_GB2312"/>
      <w:snapToGrid w:val="0"/>
      <w:color w:val="000000"/>
      <w:sz w:val="24"/>
    </w:rPr>
  </w:style>
  <w:style w:type="paragraph" w:customStyle="1" w:styleId="64">
    <w:name w:val="Normal Indent1"/>
    <w:basedOn w:val="1"/>
    <w:qFormat/>
    <w:uiPriority w:val="0"/>
    <w:pPr>
      <w:ind w:firstLine="420" w:firstLineChars="200"/>
    </w:pPr>
  </w:style>
  <w:style w:type="paragraph" w:customStyle="1" w:styleId="65">
    <w:name w:val="0-正文"/>
    <w:basedOn w:val="1"/>
    <w:qFormat/>
    <w:uiPriority w:val="0"/>
    <w:pPr>
      <w:ind w:firstLine="420" w:firstLineChars="200"/>
    </w:pPr>
    <w:rPr>
      <w:rFonts w:ascii="汉仪仿宋简" w:hAnsi="仿宋"/>
      <w:szCs w:val="28"/>
    </w:rPr>
  </w:style>
  <w:style w:type="paragraph" w:customStyle="1" w:styleId="66">
    <w:name w:val="p0"/>
    <w:basedOn w:val="1"/>
    <w:qFormat/>
    <w:uiPriority w:val="99"/>
    <w:pPr>
      <w:widowControl/>
    </w:pPr>
    <w:rPr>
      <w:kern w:val="0"/>
      <w:sz w:val="28"/>
      <w:szCs w:val="28"/>
    </w:rPr>
  </w:style>
  <w:style w:type="paragraph" w:customStyle="1" w:styleId="67">
    <w:name w:val="段"/>
    <w:next w:val="1"/>
    <w:qFormat/>
    <w:uiPriority w:val="0"/>
    <w:pPr>
      <w:autoSpaceDE w:val="0"/>
      <w:autoSpaceDN w:val="0"/>
      <w:ind w:firstLine="200" w:firstLineChars="200"/>
      <w:jc w:val="both"/>
    </w:pPr>
    <w:rPr>
      <w:rFonts w:ascii="宋体" w:hAnsi="Calibri" w:eastAsia="宋体" w:cs="Times New Roman"/>
      <w:sz w:val="21"/>
      <w:szCs w:val="22"/>
      <w:lang w:val="en-US" w:eastAsia="zh-CN" w:bidi="ar-SA"/>
    </w:rPr>
  </w:style>
  <w:style w:type="paragraph" w:styleId="68">
    <w:name w:val="List Paragraph"/>
    <w:basedOn w:val="1"/>
    <w:qFormat/>
    <w:uiPriority w:val="34"/>
    <w:pPr>
      <w:ind w:firstLine="420" w:firstLineChars="200"/>
    </w:pPr>
  </w:style>
  <w:style w:type="paragraph" w:customStyle="1" w:styleId="69">
    <w:name w:val="_Style 1"/>
    <w:qFormat/>
    <w:uiPriority w:val="0"/>
    <w:rPr>
      <w:rFonts w:ascii="Calibri" w:hAnsi="Calibri" w:eastAsia="宋体" w:cs="Times New Roman"/>
      <w:kern w:val="2"/>
      <w:sz w:val="28"/>
      <w:szCs w:val="22"/>
      <w:lang w:val="en-US" w:eastAsia="zh-CN" w:bidi="ar-SA"/>
    </w:rPr>
  </w:style>
  <w:style w:type="paragraph" w:customStyle="1" w:styleId="70">
    <w:name w:val="List Paragraph1"/>
    <w:basedOn w:val="1"/>
    <w:qFormat/>
    <w:uiPriority w:val="0"/>
    <w:pPr>
      <w:widowControl/>
      <w:spacing w:after="200" w:line="276" w:lineRule="auto"/>
      <w:ind w:firstLine="420" w:firstLineChars="200"/>
      <w:jc w:val="left"/>
    </w:pPr>
    <w:rPr>
      <w:kern w:val="0"/>
      <w:sz w:val="22"/>
      <w:szCs w:val="22"/>
      <w:lang w:eastAsia="en-US" w:bidi="en-US"/>
    </w:rPr>
  </w:style>
  <w:style w:type="paragraph" w:customStyle="1" w:styleId="71">
    <w:name w:val="中等深浅网格 1 - 强调文字颜色 21"/>
    <w:basedOn w:val="1"/>
    <w:qFormat/>
    <w:uiPriority w:val="0"/>
    <w:pPr>
      <w:spacing w:line="360" w:lineRule="auto"/>
      <w:ind w:firstLine="420" w:firstLineChars="200"/>
    </w:pPr>
    <w:rPr>
      <w:kern w:val="0"/>
      <w:sz w:val="34"/>
      <w:szCs w:val="20"/>
    </w:rPr>
  </w:style>
  <w:style w:type="paragraph" w:customStyle="1" w:styleId="72">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73">
    <w:name w:val="纯文本1"/>
    <w:basedOn w:val="1"/>
    <w:qFormat/>
    <w:uiPriority w:val="0"/>
    <w:pPr>
      <w:widowControl/>
      <w:adjustRightInd w:val="0"/>
      <w:jc w:val="left"/>
      <w:textAlignment w:val="baseline"/>
    </w:pPr>
    <w:rPr>
      <w:rFonts w:ascii="宋体" w:hAnsi="Courier New" w:eastAsia="楷体_GB2312"/>
      <w:kern w:val="0"/>
      <w:sz w:val="26"/>
      <w:szCs w:val="20"/>
    </w:rPr>
  </w:style>
  <w:style w:type="paragraph" w:customStyle="1" w:styleId="74">
    <w:name w:val="首行缩进"/>
    <w:basedOn w:val="1"/>
    <w:qFormat/>
    <w:uiPriority w:val="0"/>
    <w:pPr>
      <w:spacing w:line="360" w:lineRule="auto"/>
      <w:ind w:firstLine="480" w:firstLineChars="200"/>
    </w:pPr>
    <w:rPr>
      <w:sz w:val="24"/>
      <w:lang w:val="zh-CN"/>
    </w:rPr>
  </w:style>
  <w:style w:type="paragraph" w:customStyle="1" w:styleId="75">
    <w:name w:val="Char Char Char"/>
    <w:basedOn w:val="1"/>
    <w:qFormat/>
    <w:uiPriority w:val="0"/>
    <w:rPr>
      <w:rFonts w:ascii="Tahoma" w:hAnsi="Tahoma"/>
      <w:sz w:val="24"/>
      <w:szCs w:val="20"/>
    </w:rPr>
  </w:style>
  <w:style w:type="character" w:customStyle="1" w:styleId="76">
    <w:name w:val="font21"/>
    <w:basedOn w:val="35"/>
    <w:qFormat/>
    <w:uiPriority w:val="0"/>
    <w:rPr>
      <w:rFonts w:hint="default" w:ascii="Symbol" w:hAnsi="Symbol" w:cs="Symbol"/>
      <w:color w:val="FF0000"/>
      <w:sz w:val="22"/>
      <w:szCs w:val="22"/>
      <w:u w:val="none"/>
    </w:rPr>
  </w:style>
  <w:style w:type="character" w:customStyle="1" w:styleId="77">
    <w:name w:val="font31"/>
    <w:basedOn w:val="35"/>
    <w:qFormat/>
    <w:uiPriority w:val="0"/>
    <w:rPr>
      <w:rFonts w:hint="eastAsia" w:ascii="微软雅黑" w:hAnsi="微软雅黑" w:eastAsia="微软雅黑" w:cs="微软雅黑"/>
      <w:color w:val="FF0000"/>
      <w:sz w:val="22"/>
      <w:szCs w:val="22"/>
      <w:u w:val="none"/>
    </w:rPr>
  </w:style>
  <w:style w:type="character" w:customStyle="1" w:styleId="78">
    <w:name w:val="fontstyle01"/>
    <w:basedOn w:val="35"/>
    <w:qFormat/>
    <w:uiPriority w:val="0"/>
    <w:rPr>
      <w:rFonts w:hint="eastAsia" w:ascii="宋体" w:hAnsi="宋体" w:eastAsia="宋体"/>
      <w:color w:val="000000"/>
      <w:sz w:val="24"/>
      <w:szCs w:val="24"/>
    </w:rPr>
  </w:style>
  <w:style w:type="character" w:customStyle="1" w:styleId="79">
    <w:name w:val="fontstyle21"/>
    <w:basedOn w:val="35"/>
    <w:qFormat/>
    <w:uiPriority w:val="0"/>
    <w:rPr>
      <w:rFonts w:hint="default" w:ascii="Times New Roman" w:hAnsi="Times New Roman" w:cs="Times New Roman"/>
      <w:color w:val="000000"/>
      <w:sz w:val="24"/>
      <w:szCs w:val="24"/>
    </w:rPr>
  </w:style>
  <w:style w:type="paragraph" w:customStyle="1" w:styleId="80">
    <w:name w:val="Table Paragraph"/>
    <w:basedOn w:val="1"/>
    <w:qFormat/>
    <w:uiPriority w:val="1"/>
    <w:rPr>
      <w:rFonts w:ascii="宋体" w:hAnsi="宋体" w:cs="宋体"/>
      <w:lang w:val="zh-CN" w:bidi="zh-CN"/>
    </w:rPr>
  </w:style>
  <w:style w:type="paragraph" w:customStyle="1" w:styleId="81">
    <w:name w:val="Other|1"/>
    <w:basedOn w:val="1"/>
    <w:qFormat/>
    <w:uiPriority w:val="0"/>
    <w:pPr>
      <w:spacing w:after="100" w:line="430" w:lineRule="auto"/>
      <w:ind w:firstLine="400"/>
    </w:pPr>
    <w:rPr>
      <w:rFonts w:ascii="宋体" w:hAnsi="宋体" w:cs="宋体"/>
      <w:sz w:val="20"/>
      <w:szCs w:val="20"/>
      <w:lang w:val="zh-TW" w:eastAsia="zh-TW" w:bidi="zh-TW"/>
    </w:rPr>
  </w:style>
  <w:style w:type="paragraph" w:customStyle="1" w:styleId="82">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83">
    <w:name w:val="正文_2_2"/>
    <w:basedOn w:val="1"/>
    <w:qFormat/>
    <w:uiPriority w:val="0"/>
    <w:rPr>
      <w:rFonts w:cs="宋体"/>
      <w:szCs w:val="21"/>
    </w:rPr>
  </w:style>
  <w:style w:type="character" w:customStyle="1" w:styleId="84">
    <w:name w:val="15"/>
    <w:qFormat/>
    <w:uiPriority w:val="0"/>
    <w:rPr>
      <w:rFonts w:hint="default" w:ascii="Times New Roman" w:hAnsi="Times New Roman" w:cs="Times New Roman"/>
      <w:color w:val="0000FF"/>
      <w:sz w:val="21"/>
      <w:szCs w:val="24"/>
      <w:u w:val="single"/>
    </w:rPr>
  </w:style>
  <w:style w:type="paragraph" w:customStyle="1" w:styleId="85">
    <w:name w:val="正文_2_0_0"/>
    <w:basedOn w:val="1"/>
    <w:qFormat/>
    <w:uiPriority w:val="0"/>
    <w:rPr>
      <w:rFonts w:cs="宋体"/>
      <w:szCs w:val="21"/>
    </w:rPr>
  </w:style>
  <w:style w:type="paragraph" w:customStyle="1" w:styleId="86">
    <w:name w:val="正文_2_0_0_0"/>
    <w:basedOn w:val="1"/>
    <w:qFormat/>
    <w:uiPriority w:val="0"/>
    <w:rPr>
      <w:szCs w:val="21"/>
    </w:rPr>
  </w:style>
  <w:style w:type="paragraph" w:customStyle="1" w:styleId="87">
    <w:name w:val="【正文】"/>
    <w:basedOn w:val="1"/>
    <w:qFormat/>
    <w:uiPriority w:val="0"/>
    <w:pPr>
      <w:spacing w:line="480" w:lineRule="auto"/>
      <w:ind w:firstLine="560" w:firstLineChars="200"/>
    </w:pPr>
    <w:rPr>
      <w:rFonts w:ascii="仿宋" w:hAnsi="仿宋"/>
      <w:kern w:val="0"/>
      <w:sz w:val="28"/>
      <w:szCs w:val="28"/>
    </w:rPr>
  </w:style>
  <w:style w:type="character" w:customStyle="1" w:styleId="88">
    <w:name w:val="font81"/>
    <w:basedOn w:val="35"/>
    <w:qFormat/>
    <w:uiPriority w:val="0"/>
    <w:rPr>
      <w:rFonts w:ascii="微软雅黑" w:hAnsi="微软雅黑" w:eastAsia="微软雅黑" w:cs="微软雅黑"/>
      <w:color w:val="000000"/>
      <w:sz w:val="24"/>
      <w:szCs w:val="24"/>
      <w:u w:val="none"/>
    </w:rPr>
  </w:style>
  <w:style w:type="character" w:customStyle="1" w:styleId="89">
    <w:name w:val="font51"/>
    <w:basedOn w:val="35"/>
    <w:qFormat/>
    <w:uiPriority w:val="0"/>
    <w:rPr>
      <w:rFonts w:hint="default" w:ascii="Times New Roman" w:hAnsi="Times New Roman" w:cs="Times New Roman"/>
      <w:color w:val="000000"/>
      <w:sz w:val="24"/>
      <w:szCs w:val="24"/>
      <w:u w:val="none"/>
    </w:rPr>
  </w:style>
  <w:style w:type="character" w:customStyle="1" w:styleId="90">
    <w:name w:val="font91"/>
    <w:basedOn w:val="35"/>
    <w:qFormat/>
    <w:uiPriority w:val="0"/>
    <w:rPr>
      <w:rFonts w:hint="eastAsia" w:ascii="宋体" w:hAnsi="宋体" w:eastAsia="宋体" w:cs="宋体"/>
      <w:color w:val="000000"/>
      <w:sz w:val="24"/>
      <w:szCs w:val="24"/>
      <w:u w:val="none"/>
    </w:rPr>
  </w:style>
  <w:style w:type="character" w:customStyle="1" w:styleId="91">
    <w:name w:val="font11"/>
    <w:basedOn w:val="35"/>
    <w:qFormat/>
    <w:uiPriority w:val="0"/>
    <w:rPr>
      <w:rFonts w:hint="eastAsia" w:ascii="宋体" w:hAnsi="宋体" w:eastAsia="宋体" w:cs="宋体"/>
      <w:b/>
      <w:bCs/>
      <w:color w:val="000000"/>
      <w:sz w:val="24"/>
      <w:szCs w:val="24"/>
      <w:u w:val="none"/>
    </w:rPr>
  </w:style>
  <w:style w:type="character" w:customStyle="1" w:styleId="92">
    <w:name w:val="font71"/>
    <w:basedOn w:val="35"/>
    <w:qFormat/>
    <w:uiPriority w:val="0"/>
    <w:rPr>
      <w:rFonts w:ascii="Calibri" w:hAnsi="Calibri" w:cs="Calibri"/>
      <w:color w:val="000000"/>
      <w:sz w:val="20"/>
      <w:szCs w:val="20"/>
      <w:u w:val="none"/>
    </w:rPr>
  </w:style>
  <w:style w:type="character" w:customStyle="1" w:styleId="93">
    <w:name w:val="NormalCharacter"/>
    <w:semiHidden/>
    <w:qFormat/>
    <w:uiPriority w:val="0"/>
  </w:style>
  <w:style w:type="character" w:customStyle="1" w:styleId="94">
    <w:name w:val="font41"/>
    <w:basedOn w:val="35"/>
    <w:qFormat/>
    <w:uiPriority w:val="0"/>
    <w:rPr>
      <w:rFonts w:ascii="Calibri" w:hAnsi="Calibri" w:cs="Calibri"/>
      <w:color w:val="000000"/>
      <w:sz w:val="21"/>
      <w:szCs w:val="21"/>
      <w:u w:val="none"/>
    </w:rPr>
  </w:style>
  <w:style w:type="character" w:customStyle="1" w:styleId="95">
    <w:name w:val="font61"/>
    <w:basedOn w:val="35"/>
    <w:qFormat/>
    <w:uiPriority w:val="0"/>
    <w:rPr>
      <w:rFonts w:hint="eastAsia" w:ascii="仿宋" w:hAnsi="仿宋" w:eastAsia="仿宋" w:cs="仿宋"/>
      <w:color w:val="FF0000"/>
      <w:sz w:val="24"/>
      <w:szCs w:val="24"/>
      <w:u w:val="none"/>
    </w:rPr>
  </w:style>
  <w:style w:type="paragraph" w:customStyle="1" w:styleId="96">
    <w:name w:val="样式 样式 样式 标题 2 + 两端对齐 段前: 18 磅 + 首行缩进:  2 字符 + 首行缩进:  2 字符 段后: 0..."/>
    <w:basedOn w:val="1"/>
    <w:qFormat/>
    <w:uiPriority w:val="0"/>
    <w:pPr>
      <w:spacing w:afterLines="50" w:line="360" w:lineRule="auto"/>
    </w:pPr>
    <w:rPr>
      <w:rFonts w:cs="宋体"/>
      <w:b/>
      <w:bCs/>
      <w:sz w:val="24"/>
      <w:szCs w:val="20"/>
    </w:rPr>
  </w:style>
  <w:style w:type="paragraph" w:customStyle="1" w:styleId="97">
    <w:name w:val="无间隔1"/>
    <w:qFormat/>
    <w:uiPriority w:val="0"/>
    <w:pPr>
      <w:adjustRightInd w:val="0"/>
      <w:snapToGrid w:val="0"/>
    </w:pPr>
    <w:rPr>
      <w:rFonts w:ascii="Tahoma" w:hAnsi="Tahoma" w:eastAsia="微软雅黑" w:cs="Tahoma"/>
      <w:sz w:val="22"/>
      <w:szCs w:val="22"/>
      <w:lang w:val="en-US" w:eastAsia="zh-CN" w:bidi="ar-SA"/>
    </w:rPr>
  </w:style>
  <w:style w:type="paragraph" w:customStyle="1" w:styleId="98">
    <w:name w:val="WPSOffice手动目录 1"/>
    <w:qFormat/>
    <w:uiPriority w:val="0"/>
    <w:rPr>
      <w:rFonts w:ascii="Times New Roman" w:hAnsi="Times New Roman" w:eastAsia="宋体" w:cs="Times New Roman"/>
      <w:lang w:val="en-US" w:eastAsia="zh-CN" w:bidi="ar-SA"/>
    </w:rPr>
  </w:style>
  <w:style w:type="character" w:customStyle="1" w:styleId="99">
    <w:name w:val="font01"/>
    <w:basedOn w:val="35"/>
    <w:qFormat/>
    <w:uiPriority w:val="0"/>
    <w:rPr>
      <w:rFonts w:hint="default" w:ascii="Tahoma" w:hAnsi="Tahoma" w:eastAsia="Tahoma" w:cs="Tahoma"/>
      <w:color w:val="000000"/>
      <w:sz w:val="22"/>
      <w:szCs w:val="22"/>
      <w:u w:val="none"/>
    </w:rPr>
  </w:style>
  <w:style w:type="paragraph" w:customStyle="1" w:styleId="100">
    <w:name w:val="表格用"/>
    <w:basedOn w:val="1"/>
    <w:qFormat/>
    <w:uiPriority w:val="0"/>
    <w:rPr>
      <w:kern w:val="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54</Pages>
  <Words>26604</Words>
  <Characters>27844</Characters>
  <Lines>222</Lines>
  <Paragraphs>62</Paragraphs>
  <TotalTime>29</TotalTime>
  <ScaleCrop>false</ScaleCrop>
  <LinksUpToDate>false</LinksUpToDate>
  <CharactersWithSpaces>29235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2023-05-30T09:54:00Z</dcterms:created>
  <dc:creator>庞诗文</dc:creator>
  <cp:lastModifiedBy>Administrator</cp:lastModifiedBy>
  <cp:lastPrinted>2024-07-31T08:00:00Z</cp:lastPrinted>
  <dcterms:modified xsi:type="dcterms:W3CDTF">2024-08-01T01:38:33Z</dcterms:modified>
  <dc:title>南宁市政府集中采购中心政府采购项目委托办理须知</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2F8306B1D63C4515A7483C4785C7418B_13</vt:lpwstr>
  </property>
</Properties>
</file>